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8BFBD" w14:textId="77777777" w:rsidR="00513119" w:rsidRPr="00711677" w:rsidRDefault="00995BB6" w:rsidP="009F715C">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711677">
        <w:rPr>
          <w:rFonts w:asciiTheme="majorHAnsi" w:eastAsia="Calibri" w:hAnsiTheme="majorHAnsi" w:cs="Times New Roman"/>
          <w:b/>
          <w:noProof/>
          <w:color w:val="244061" w:themeColor="accent1" w:themeShade="80"/>
          <w:spacing w:val="-2"/>
          <w:sz w:val="24"/>
          <w:szCs w:val="24"/>
          <w:lang w:val="en-PH" w:eastAsia="en-PH"/>
        </w:rPr>
        <mc:AlternateContent>
          <mc:Choice Requires="wps">
            <w:drawing>
              <wp:anchor distT="0" distB="0" distL="114300" distR="114300" simplePos="0" relativeHeight="251656192" behindDoc="0" locked="0" layoutInCell="1" allowOverlap="1" wp14:anchorId="222A3774" wp14:editId="489E11E4">
                <wp:simplePos x="0" y="0"/>
                <wp:positionH relativeFrom="column">
                  <wp:posOffset>-172528</wp:posOffset>
                </wp:positionH>
                <wp:positionV relativeFrom="paragraph">
                  <wp:posOffset>-35860</wp:posOffset>
                </wp:positionV>
                <wp:extent cx="3933645" cy="307975"/>
                <wp:effectExtent l="0" t="0" r="10160"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645" cy="307975"/>
                        </a:xfrm>
                        <a:prstGeom prst="rect">
                          <a:avLst/>
                        </a:prstGeom>
                        <a:solidFill>
                          <a:srgbClr val="FFFFFF"/>
                        </a:solidFill>
                        <a:ln w="9525">
                          <a:solidFill>
                            <a:schemeClr val="tx1">
                              <a:lumMod val="50000"/>
                              <a:lumOff val="50000"/>
                            </a:schemeClr>
                          </a:solidFill>
                          <a:miter lim="800000"/>
                          <a:headEnd/>
                          <a:tailEnd/>
                        </a:ln>
                      </wps:spPr>
                      <wps:txbx>
                        <w:txbxContent>
                          <w:p w14:paraId="63720D40" w14:textId="77777777"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 &lt;</w:t>
                            </w:r>
                            <w:r w:rsidRPr="00711677">
                              <w:rPr>
                                <w:b/>
                                <w:i/>
                                <w:color w:val="595959" w:themeColor="text1" w:themeTint="A6"/>
                                <w:sz w:val="24"/>
                              </w:rPr>
                              <w:t>Working Group</w:t>
                            </w:r>
                            <w:r w:rsidR="00995BB6">
                              <w:rPr>
                                <w:b/>
                                <w:i/>
                                <w:color w:val="595959" w:themeColor="text1" w:themeTint="A6"/>
                                <w:sz w:val="24"/>
                              </w:rPr>
                              <w:t xml:space="preserve"> on Public Debt</w:t>
                            </w:r>
                            <w:r>
                              <w:rPr>
                                <w:b/>
                                <w:color w:val="595959" w:themeColor="text1" w:themeTint="A6"/>
                                <w:sz w:val="24"/>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2A3774" id="_x0000_t202" coordsize="21600,21600" o:spt="202" path="m,l,21600r21600,l21600,xe">
                <v:stroke joinstyle="miter"/>
                <v:path gradientshapeok="t" o:connecttype="rect"/>
              </v:shapetype>
              <v:shape id="Text Box 2" o:spid="_x0000_s1026" type="#_x0000_t202" style="position:absolute;left:0;text-align:left;margin-left:-13.6pt;margin-top:-2.8pt;width:309.75pt;height:2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" strokecolor="gray [1629]">
                <v:textbox>
                  <w:txbxContent>
                    <w:p w14:paraId="63720D40" w14:textId="77777777"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 &lt;</w:t>
                      </w:r>
                      <w:r w:rsidRPr="00711677">
                        <w:rPr>
                          <w:b/>
                          <w:i/>
                          <w:color w:val="595959" w:themeColor="text1" w:themeTint="A6"/>
                          <w:sz w:val="24"/>
                        </w:rPr>
                        <w:t>Working Group</w:t>
                      </w:r>
                      <w:r w:rsidR="00995BB6">
                        <w:rPr>
                          <w:b/>
                          <w:i/>
                          <w:color w:val="595959" w:themeColor="text1" w:themeTint="A6"/>
                          <w:sz w:val="24"/>
                        </w:rPr>
                        <w:t xml:space="preserve"> on Public Debt</w:t>
                      </w:r>
                      <w:r>
                        <w:rPr>
                          <w:b/>
                          <w:color w:val="595959" w:themeColor="text1" w:themeTint="A6"/>
                          <w:sz w:val="24"/>
                        </w:rPr>
                        <w:t>&gt;</w:t>
                      </w:r>
                    </w:p>
                  </w:txbxContent>
                </v:textbox>
              </v:shape>
            </w:pict>
          </mc:Fallback>
        </mc:AlternateContent>
      </w:r>
      <w:r w:rsidR="00711677" w:rsidRPr="00711677">
        <w:rPr>
          <w:rFonts w:asciiTheme="majorHAnsi" w:eastAsia="Times New Roman" w:hAnsiTheme="majorHAnsi" w:cs="Times New Roman"/>
          <w:noProof/>
          <w:color w:val="244061" w:themeColor="accent1" w:themeShade="80"/>
          <w:sz w:val="24"/>
          <w:szCs w:val="24"/>
          <w:lang w:val="en-PH" w:eastAsia="en-PH"/>
        </w:rPr>
        <mc:AlternateContent>
          <mc:Choice Requires="wps">
            <w:drawing>
              <wp:anchor distT="0" distB="0" distL="114300" distR="114300" simplePos="0" relativeHeight="251652096" behindDoc="0" locked="0" layoutInCell="1" allowOverlap="1" wp14:anchorId="73212CDE" wp14:editId="24F8E1E6">
                <wp:simplePos x="0" y="0"/>
                <wp:positionH relativeFrom="column">
                  <wp:posOffset>6271404</wp:posOffset>
                </wp:positionH>
                <wp:positionV relativeFrom="paragraph">
                  <wp:posOffset>-587950</wp:posOffset>
                </wp:positionV>
                <wp:extent cx="3053751" cy="1647645"/>
                <wp:effectExtent l="0" t="0" r="133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51" cy="1647645"/>
                        </a:xfrm>
                        <a:prstGeom prst="rect">
                          <a:avLst/>
                        </a:prstGeom>
                        <a:solidFill>
                          <a:srgbClr val="FFFFFF"/>
                        </a:solidFill>
                        <a:ln w="9525">
                          <a:solidFill>
                            <a:schemeClr val="bg1">
                              <a:lumMod val="50000"/>
                            </a:schemeClr>
                          </a:solidFill>
                          <a:miter lim="800000"/>
                          <a:headEnd/>
                          <a:tailEnd/>
                        </a:ln>
                      </wps:spPr>
                      <wps:txbx>
                        <w:txbxContent>
                          <w:p w14:paraId="46F96E4A"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6C738483" w14:textId="77777777" w:rsidTr="00711677">
                              <w:tc>
                                <w:tcPr>
                                  <w:tcW w:w="817" w:type="dxa"/>
                                  <w:shd w:val="clear" w:color="auto" w:fill="92D050"/>
                                </w:tcPr>
                                <w:p w14:paraId="6A08DACE" w14:textId="77777777" w:rsidR="004B67E0" w:rsidRDefault="004B67E0"/>
                              </w:tc>
                              <w:tc>
                                <w:tcPr>
                                  <w:tcW w:w="3768" w:type="dxa"/>
                                </w:tcPr>
                                <w:p w14:paraId="70BF0D70"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40D38FCD" w14:textId="77777777" w:rsidTr="00711677">
                              <w:tc>
                                <w:tcPr>
                                  <w:tcW w:w="817" w:type="dxa"/>
                                  <w:shd w:val="clear" w:color="auto" w:fill="FFC000"/>
                                </w:tcPr>
                                <w:p w14:paraId="26AF7520" w14:textId="77777777" w:rsidR="004B67E0" w:rsidRDefault="004B67E0"/>
                              </w:tc>
                              <w:tc>
                                <w:tcPr>
                                  <w:tcW w:w="3768" w:type="dxa"/>
                                </w:tcPr>
                                <w:p w14:paraId="342D16E1"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335B9A1A" w14:textId="77777777" w:rsidTr="00711677">
                              <w:tc>
                                <w:tcPr>
                                  <w:tcW w:w="817" w:type="dxa"/>
                                  <w:shd w:val="clear" w:color="auto" w:fill="FF5757"/>
                                </w:tcPr>
                                <w:p w14:paraId="0F40920E" w14:textId="77777777" w:rsidR="004B67E0" w:rsidRDefault="004B67E0"/>
                              </w:tc>
                              <w:tc>
                                <w:tcPr>
                                  <w:tcW w:w="3768" w:type="dxa"/>
                                </w:tcPr>
                                <w:p w14:paraId="3B2FC9C0"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5E468E29" w14:textId="77777777" w:rsidTr="00A75398">
                              <w:tc>
                                <w:tcPr>
                                  <w:tcW w:w="817" w:type="dxa"/>
                                  <w:shd w:val="clear" w:color="auto" w:fill="5F497A" w:themeFill="accent4" w:themeFillShade="BF"/>
                                </w:tcPr>
                                <w:p w14:paraId="5C3398A2" w14:textId="77777777" w:rsidR="00711677" w:rsidRDefault="00711677"/>
                              </w:tc>
                              <w:tc>
                                <w:tcPr>
                                  <w:tcW w:w="3768" w:type="dxa"/>
                                </w:tcPr>
                                <w:p w14:paraId="427359BD"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C9AB55F" w14:textId="77777777" w:rsidTr="00711677">
                              <w:tc>
                                <w:tcPr>
                                  <w:tcW w:w="817" w:type="dxa"/>
                                  <w:shd w:val="clear" w:color="auto" w:fill="29D6FF"/>
                                </w:tcPr>
                                <w:p w14:paraId="53C8A751" w14:textId="77777777" w:rsidR="004B67E0" w:rsidRDefault="004B67E0"/>
                              </w:tc>
                              <w:tc>
                                <w:tcPr>
                                  <w:tcW w:w="3768" w:type="dxa"/>
                                </w:tcPr>
                                <w:p w14:paraId="53C7A1E5"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322087DA" w14:textId="77777777" w:rsidTr="00711677">
                              <w:tc>
                                <w:tcPr>
                                  <w:tcW w:w="817" w:type="dxa"/>
                                  <w:shd w:val="clear" w:color="auto" w:fill="404040" w:themeFill="text1" w:themeFillTint="BF"/>
                                </w:tcPr>
                                <w:p w14:paraId="462CB58F" w14:textId="77777777" w:rsidR="004B67E0" w:rsidRDefault="004B67E0"/>
                              </w:tc>
                              <w:tc>
                                <w:tcPr>
                                  <w:tcW w:w="3768" w:type="dxa"/>
                                </w:tcPr>
                                <w:p w14:paraId="3C3E03B2" w14:textId="77777777" w:rsidR="004B67E0" w:rsidRDefault="004B67E0">
                                  <w:r w:rsidRPr="00496717">
                                    <w:rPr>
                                      <w:sz w:val="18"/>
                                      <w:szCs w:val="18"/>
                                    </w:rPr>
                                    <w:t>Initiative</w:t>
                                  </w:r>
                                  <w:r w:rsidR="00B91563" w:rsidRPr="00496717">
                                    <w:rPr>
                                      <w:sz w:val="18"/>
                                      <w:szCs w:val="18"/>
                                    </w:rPr>
                                    <w:t xml:space="preserve">s </w:t>
                                  </w:r>
                                  <w:r w:rsidRPr="00496717">
                                    <w:rPr>
                                      <w:sz w:val="18"/>
                                      <w:szCs w:val="18"/>
                                    </w:rPr>
                                    <w:t xml:space="preserve"> / project</w:t>
                                  </w:r>
                                  <w:r w:rsidR="00B91563" w:rsidRPr="00496717">
                                    <w:rPr>
                                      <w:sz w:val="18"/>
                                      <w:szCs w:val="18"/>
                                    </w:rPr>
                                    <w:t>s</w:t>
                                  </w:r>
                                  <w:r w:rsidRPr="00496717">
                                    <w:rPr>
                                      <w:sz w:val="18"/>
                                      <w:szCs w:val="18"/>
                                    </w:rPr>
                                    <w:t xml:space="preserve"> completed</w:t>
                                  </w:r>
                                  <w:r>
                                    <w:t xml:space="preserve"> </w:t>
                                  </w:r>
                                </w:p>
                              </w:tc>
                            </w:tr>
                          </w:tbl>
                          <w:p w14:paraId="250874EA" w14:textId="77777777" w:rsidR="004B67E0" w:rsidRDefault="004B6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212CDE" id="_x0000_t202" coordsize="21600,21600" o:spt="202" path="m,l,21600r21600,l21600,xe">
                <v:stroke joinstyle="miter"/>
                <v:path gradientshapeok="t" o:connecttype="rect"/>
              </v:shapetype>
              <v:shape id="_x0000_s1027" type="#_x0000_t202" style="position:absolute;left:0;text-align:left;margin-left:493.8pt;margin-top:-46.3pt;width:240.45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" strokecolor="#7f7f7f [1612]">
                <v:textbox>
                  <w:txbxContent>
                    <w:p w14:paraId="46F96E4A"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6C738483" w14:textId="77777777" w:rsidTr="00711677">
                        <w:tc>
                          <w:tcPr>
                            <w:tcW w:w="817" w:type="dxa"/>
                            <w:shd w:val="clear" w:color="auto" w:fill="92D050"/>
                          </w:tcPr>
                          <w:p w14:paraId="6A08DACE" w14:textId="77777777" w:rsidR="004B67E0" w:rsidRDefault="004B67E0"/>
                        </w:tc>
                        <w:tc>
                          <w:tcPr>
                            <w:tcW w:w="3768" w:type="dxa"/>
                          </w:tcPr>
                          <w:p w14:paraId="70BF0D70"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40D38FCD" w14:textId="77777777" w:rsidTr="00711677">
                        <w:tc>
                          <w:tcPr>
                            <w:tcW w:w="817" w:type="dxa"/>
                            <w:shd w:val="clear" w:color="auto" w:fill="FFC000"/>
                          </w:tcPr>
                          <w:p w14:paraId="26AF7520" w14:textId="77777777" w:rsidR="004B67E0" w:rsidRDefault="004B67E0"/>
                        </w:tc>
                        <w:tc>
                          <w:tcPr>
                            <w:tcW w:w="3768" w:type="dxa"/>
                          </w:tcPr>
                          <w:p w14:paraId="342D16E1"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335B9A1A" w14:textId="77777777" w:rsidTr="00711677">
                        <w:tc>
                          <w:tcPr>
                            <w:tcW w:w="817" w:type="dxa"/>
                            <w:shd w:val="clear" w:color="auto" w:fill="FF5757"/>
                          </w:tcPr>
                          <w:p w14:paraId="0F40920E" w14:textId="77777777" w:rsidR="004B67E0" w:rsidRDefault="004B67E0"/>
                        </w:tc>
                        <w:tc>
                          <w:tcPr>
                            <w:tcW w:w="3768" w:type="dxa"/>
                          </w:tcPr>
                          <w:p w14:paraId="3B2FC9C0"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5E468E29" w14:textId="77777777" w:rsidTr="00A75398">
                        <w:tc>
                          <w:tcPr>
                            <w:tcW w:w="817" w:type="dxa"/>
                            <w:shd w:val="clear" w:color="auto" w:fill="5F497A" w:themeFill="accent4" w:themeFillShade="BF"/>
                          </w:tcPr>
                          <w:p w14:paraId="5C3398A2" w14:textId="77777777" w:rsidR="00711677" w:rsidRDefault="00711677"/>
                        </w:tc>
                        <w:tc>
                          <w:tcPr>
                            <w:tcW w:w="3768" w:type="dxa"/>
                          </w:tcPr>
                          <w:p w14:paraId="427359BD"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C9AB55F" w14:textId="77777777" w:rsidTr="00711677">
                        <w:tc>
                          <w:tcPr>
                            <w:tcW w:w="817" w:type="dxa"/>
                            <w:shd w:val="clear" w:color="auto" w:fill="29D6FF"/>
                          </w:tcPr>
                          <w:p w14:paraId="53C8A751" w14:textId="77777777" w:rsidR="004B67E0" w:rsidRDefault="004B67E0"/>
                        </w:tc>
                        <w:tc>
                          <w:tcPr>
                            <w:tcW w:w="3768" w:type="dxa"/>
                          </w:tcPr>
                          <w:p w14:paraId="53C7A1E5"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322087DA" w14:textId="77777777" w:rsidTr="00711677">
                        <w:tc>
                          <w:tcPr>
                            <w:tcW w:w="817" w:type="dxa"/>
                            <w:shd w:val="clear" w:color="auto" w:fill="404040" w:themeFill="text1" w:themeFillTint="BF"/>
                          </w:tcPr>
                          <w:p w14:paraId="462CB58F" w14:textId="77777777" w:rsidR="004B67E0" w:rsidRDefault="004B67E0"/>
                        </w:tc>
                        <w:tc>
                          <w:tcPr>
                            <w:tcW w:w="3768" w:type="dxa"/>
                          </w:tcPr>
                          <w:p w14:paraId="3C3E03B2" w14:textId="77777777" w:rsidR="004B67E0" w:rsidRDefault="004B67E0">
                            <w:r w:rsidRPr="00496717">
                              <w:rPr>
                                <w:sz w:val="18"/>
                                <w:szCs w:val="18"/>
                              </w:rPr>
                              <w:t>Initiative</w:t>
                            </w:r>
                            <w:r w:rsidR="00B91563" w:rsidRPr="00496717">
                              <w:rPr>
                                <w:sz w:val="18"/>
                                <w:szCs w:val="18"/>
                              </w:rPr>
                              <w:t xml:space="preserve">s </w:t>
                            </w:r>
                            <w:r w:rsidRPr="00496717">
                              <w:rPr>
                                <w:sz w:val="18"/>
                                <w:szCs w:val="18"/>
                              </w:rPr>
                              <w:t xml:space="preserve"> / project</w:t>
                            </w:r>
                            <w:r w:rsidR="00B91563" w:rsidRPr="00496717">
                              <w:rPr>
                                <w:sz w:val="18"/>
                                <w:szCs w:val="18"/>
                              </w:rPr>
                              <w:t>s</w:t>
                            </w:r>
                            <w:r w:rsidRPr="00496717">
                              <w:rPr>
                                <w:sz w:val="18"/>
                                <w:szCs w:val="18"/>
                              </w:rPr>
                              <w:t xml:space="preserve"> completed</w:t>
                            </w:r>
                            <w:r>
                              <w:t xml:space="preserve"> </w:t>
                            </w:r>
                          </w:p>
                        </w:tc>
                      </w:tr>
                    </w:tbl>
                    <w:p w14:paraId="250874EA" w14:textId="77777777" w:rsidR="004B67E0" w:rsidRDefault="004B67E0"/>
                  </w:txbxContent>
                </v:textbox>
              </v:shape>
            </w:pict>
          </mc:Fallback>
        </mc:AlternateContent>
      </w:r>
      <w:r w:rsidR="00711677" w:rsidRPr="00711677">
        <w:rPr>
          <w:rFonts w:asciiTheme="majorHAnsi" w:eastAsia="Times New Roman" w:hAnsiTheme="majorHAnsi" w:cs="Times New Roman"/>
          <w:b/>
          <w:noProof/>
          <w:color w:val="008080"/>
          <w:sz w:val="24"/>
          <w:szCs w:val="24"/>
          <w:lang w:val="en-PH" w:eastAsia="en-PH"/>
        </w:rPr>
        <mc:AlternateContent>
          <mc:Choice Requires="wps">
            <w:drawing>
              <wp:anchor distT="0" distB="0" distL="114300" distR="114300" simplePos="0" relativeHeight="251660288" behindDoc="0" locked="0" layoutInCell="1" allowOverlap="1" wp14:anchorId="108A5249" wp14:editId="2767C2BA">
                <wp:simplePos x="0" y="0"/>
                <wp:positionH relativeFrom="column">
                  <wp:posOffset>3614468</wp:posOffset>
                </wp:positionH>
                <wp:positionV relativeFrom="paragraph">
                  <wp:posOffset>-449580</wp:posOffset>
                </wp:positionV>
                <wp:extent cx="1863306" cy="1403985"/>
                <wp:effectExtent l="0" t="0" r="381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1403985"/>
                        </a:xfrm>
                        <a:prstGeom prst="rect">
                          <a:avLst/>
                        </a:prstGeom>
                        <a:solidFill>
                          <a:srgbClr val="FFFFFF"/>
                        </a:solidFill>
                        <a:ln w="9525">
                          <a:noFill/>
                          <a:miter lim="800000"/>
                          <a:headEnd/>
                          <a:tailEnd/>
                        </a:ln>
                      </wps:spPr>
                      <wps:txbx>
                        <w:txbxContent>
                          <w:p w14:paraId="70098C84" w14:textId="77777777"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KSC work plan 2017</w:t>
                            </w:r>
                            <w:r>
                              <w:rPr>
                                <w:rFonts w:asciiTheme="majorHAnsi" w:eastAsia="Times New Roman" w:hAnsiTheme="majorHAnsi" w:cs="Times New Roman"/>
                                <w:color w:val="244061" w:themeColor="accent1" w:themeShade="80"/>
                                <w:sz w:val="24"/>
                                <w:szCs w:val="24"/>
                                <w:lang w:val="en-US"/>
                              </w:rPr>
                              <w:t>-19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8A5249" id="_x0000_s1028" type="#_x0000_t202" style="position:absolute;left:0;text-align:left;margin-left:284.6pt;margin-top:-35.4pt;width:146.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" stroked="f">
                <v:textbox style="mso-fit-shape-to-text:t">
                  <w:txbxContent>
                    <w:p w14:paraId="70098C84" w14:textId="77777777"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KSC work plan 2017</w:t>
                      </w:r>
                      <w:r>
                        <w:rPr>
                          <w:rFonts w:asciiTheme="majorHAnsi" w:eastAsia="Times New Roman" w:hAnsiTheme="majorHAnsi" w:cs="Times New Roman"/>
                          <w:color w:val="244061" w:themeColor="accent1" w:themeShade="80"/>
                          <w:sz w:val="24"/>
                          <w:szCs w:val="24"/>
                          <w:lang w:val="en-US"/>
                        </w:rPr>
                        <w:t>-19</w:t>
                      </w:r>
                    </w:p>
                  </w:txbxContent>
                </v:textbox>
              </v:shape>
            </w:pict>
          </mc:Fallback>
        </mc:AlternateContent>
      </w:r>
    </w:p>
    <w:p w14:paraId="1270A408" w14:textId="77777777" w:rsidR="00711677"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p>
    <w:p w14:paraId="06518FBE" w14:textId="14512F6D" w:rsidR="006D331D"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Strategic objectives review</w:t>
      </w:r>
      <w:r w:rsidR="0015101D"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r</w:t>
      </w:r>
      <w:r w:rsidR="000808AF" w:rsidRPr="003A55C8">
        <w:rPr>
          <w:rFonts w:asciiTheme="majorHAnsi" w:eastAsia="Times New Roman" w:hAnsiTheme="majorHAnsi" w:cs="Times New Roman"/>
          <w:b/>
          <w:color w:val="008080"/>
          <w:sz w:val="20"/>
          <w:szCs w:val="20"/>
          <w:lang w:val="en-US"/>
        </w:rPr>
        <w:t xml:space="preserve">eport </w:t>
      </w:r>
      <w:r w:rsidR="000808AF" w:rsidRPr="006C702D">
        <w:rPr>
          <w:rFonts w:asciiTheme="majorHAnsi" w:eastAsia="Times New Roman" w:hAnsiTheme="majorHAnsi" w:cs="Times New Roman"/>
          <w:b/>
          <w:i/>
          <w:color w:val="008080"/>
          <w:sz w:val="20"/>
          <w:szCs w:val="20"/>
          <w:lang w:val="en-US"/>
        </w:rPr>
        <w:t>(</w:t>
      </w:r>
      <w:r w:rsidR="00384960">
        <w:rPr>
          <w:rFonts w:asciiTheme="majorHAnsi" w:eastAsia="Times New Roman" w:hAnsiTheme="majorHAnsi" w:cs="Times New Roman"/>
          <w:b/>
          <w:i/>
          <w:color w:val="008080"/>
          <w:sz w:val="20"/>
          <w:szCs w:val="20"/>
          <w:lang w:val="en-US"/>
        </w:rPr>
        <w:t>For the period ended</w:t>
      </w:r>
      <w:r w:rsidR="00F35C8D">
        <w:rPr>
          <w:rFonts w:asciiTheme="majorHAnsi" w:eastAsia="Times New Roman" w:hAnsiTheme="majorHAnsi" w:cs="Times New Roman"/>
          <w:b/>
          <w:i/>
          <w:color w:val="008080"/>
          <w:sz w:val="20"/>
          <w:szCs w:val="20"/>
          <w:lang w:val="en-US"/>
        </w:rPr>
        <w:t xml:space="preserve"> </w:t>
      </w:r>
      <w:r w:rsidR="00602965">
        <w:rPr>
          <w:rFonts w:asciiTheme="majorHAnsi" w:eastAsia="Times New Roman" w:hAnsiTheme="majorHAnsi" w:cs="Times New Roman"/>
          <w:b/>
          <w:i/>
          <w:color w:val="008080"/>
          <w:sz w:val="20"/>
          <w:szCs w:val="20"/>
          <w:lang w:val="en-US"/>
        </w:rPr>
        <w:t>30</w:t>
      </w:r>
      <w:r w:rsidR="00F35C8D">
        <w:rPr>
          <w:rFonts w:asciiTheme="majorHAnsi" w:eastAsia="Times New Roman" w:hAnsiTheme="majorHAnsi" w:cs="Times New Roman"/>
          <w:b/>
          <w:i/>
          <w:color w:val="008080"/>
          <w:sz w:val="20"/>
          <w:szCs w:val="20"/>
          <w:lang w:val="en-US"/>
        </w:rPr>
        <w:t xml:space="preserve"> </w:t>
      </w:r>
      <w:r w:rsidR="00602965">
        <w:rPr>
          <w:rFonts w:asciiTheme="majorHAnsi" w:eastAsia="Times New Roman" w:hAnsiTheme="majorHAnsi" w:cs="Times New Roman"/>
          <w:b/>
          <w:i/>
          <w:color w:val="008080"/>
          <w:sz w:val="20"/>
          <w:szCs w:val="20"/>
          <w:lang w:val="en-US"/>
        </w:rPr>
        <w:t>June</w:t>
      </w:r>
      <w:r w:rsidR="00F35C8D">
        <w:rPr>
          <w:rFonts w:asciiTheme="majorHAnsi" w:eastAsia="Times New Roman" w:hAnsiTheme="majorHAnsi" w:cs="Times New Roman"/>
          <w:b/>
          <w:i/>
          <w:color w:val="008080"/>
          <w:sz w:val="20"/>
          <w:szCs w:val="20"/>
          <w:lang w:val="en-US"/>
        </w:rPr>
        <w:t xml:space="preserve"> 20</w:t>
      </w:r>
      <w:r w:rsidR="00602965">
        <w:rPr>
          <w:rFonts w:asciiTheme="majorHAnsi" w:eastAsia="Times New Roman" w:hAnsiTheme="majorHAnsi" w:cs="Times New Roman"/>
          <w:b/>
          <w:i/>
          <w:color w:val="008080"/>
          <w:sz w:val="20"/>
          <w:szCs w:val="20"/>
          <w:lang w:val="en-US"/>
        </w:rPr>
        <w:t>20</w:t>
      </w:r>
      <w:r w:rsidR="00496717">
        <w:rPr>
          <w:rFonts w:asciiTheme="majorHAnsi" w:eastAsia="Times New Roman" w:hAnsiTheme="majorHAnsi" w:cs="Times New Roman"/>
          <w:b/>
          <w:i/>
          <w:color w:val="008080"/>
          <w:sz w:val="20"/>
          <w:szCs w:val="20"/>
          <w:lang w:val="id-ID"/>
        </w:rPr>
        <w:t xml:space="preserve"> with updates as of </w:t>
      </w:r>
      <w:r w:rsidR="0042462E">
        <w:rPr>
          <w:rFonts w:asciiTheme="majorHAnsi" w:eastAsia="Times New Roman" w:hAnsiTheme="majorHAnsi" w:cs="Times New Roman"/>
          <w:b/>
          <w:i/>
          <w:color w:val="008080"/>
          <w:sz w:val="20"/>
          <w:szCs w:val="20"/>
          <w:lang w:val="en-ID"/>
        </w:rPr>
        <w:t>31</w:t>
      </w:r>
      <w:r w:rsidR="00602965">
        <w:rPr>
          <w:rFonts w:asciiTheme="majorHAnsi" w:eastAsia="Times New Roman" w:hAnsiTheme="majorHAnsi" w:cs="Times New Roman"/>
          <w:b/>
          <w:i/>
          <w:color w:val="008080"/>
          <w:sz w:val="20"/>
          <w:szCs w:val="20"/>
          <w:lang w:val="en-US"/>
        </w:rPr>
        <w:t xml:space="preserve"> August</w:t>
      </w:r>
      <w:r w:rsidR="00496717">
        <w:rPr>
          <w:rFonts w:asciiTheme="majorHAnsi" w:eastAsia="Times New Roman" w:hAnsiTheme="majorHAnsi" w:cs="Times New Roman"/>
          <w:b/>
          <w:i/>
          <w:color w:val="008080"/>
          <w:sz w:val="20"/>
          <w:szCs w:val="20"/>
          <w:lang w:val="id-ID"/>
        </w:rPr>
        <w:t xml:space="preserve"> 2020</w:t>
      </w:r>
      <w:r w:rsidR="000808AF" w:rsidRPr="006C702D">
        <w:rPr>
          <w:rFonts w:asciiTheme="majorHAnsi" w:eastAsia="Times New Roman" w:hAnsiTheme="majorHAnsi" w:cs="Times New Roman"/>
          <w:b/>
          <w:i/>
          <w:color w:val="008080"/>
          <w:sz w:val="20"/>
          <w:szCs w:val="20"/>
          <w:lang w:val="en-US"/>
        </w:rPr>
        <w:t>)</w:t>
      </w:r>
    </w:p>
    <w:p w14:paraId="02040E6B" w14:textId="77777777" w:rsidR="00ED2F6A" w:rsidRDefault="00ED2F6A" w:rsidP="001F3ED5">
      <w:pPr>
        <w:spacing w:after="120" w:line="240" w:lineRule="auto"/>
        <w:ind w:left="720" w:hanging="862"/>
        <w:rPr>
          <w:rFonts w:asciiTheme="majorHAnsi" w:eastAsia="Times New Roman" w:hAnsiTheme="majorHAnsi" w:cs="Times New Roman"/>
          <w:sz w:val="20"/>
          <w:szCs w:val="20"/>
          <w:lang w:val="en-US"/>
        </w:rPr>
      </w:pPr>
    </w:p>
    <w:p w14:paraId="70A9E0A8" w14:textId="77777777" w:rsidR="00711677" w:rsidRPr="001F3ED5" w:rsidRDefault="00711677" w:rsidP="001F3ED5">
      <w:pPr>
        <w:spacing w:after="120" w:line="240" w:lineRule="auto"/>
        <w:ind w:left="720" w:hanging="862"/>
        <w:rPr>
          <w:rFonts w:asciiTheme="majorHAnsi" w:eastAsia="Times New Roman" w:hAnsiTheme="majorHAnsi" w:cs="Times New Roman"/>
          <w:sz w:val="20"/>
          <w:szCs w:val="20"/>
          <w:lang w:val="en-US"/>
        </w:rPr>
      </w:pPr>
    </w:p>
    <w:tbl>
      <w:tblPr>
        <w:tblStyle w:val="TableGrid"/>
        <w:tblW w:w="13651" w:type="dxa"/>
        <w:tblInd w:w="-356" w:type="dxa"/>
        <w:tblLayout w:type="fixed"/>
        <w:tblCellMar>
          <w:left w:w="115" w:type="dxa"/>
          <w:right w:w="115" w:type="dxa"/>
        </w:tblCellMar>
        <w:tblLook w:val="04A0" w:firstRow="1" w:lastRow="0" w:firstColumn="1" w:lastColumn="0" w:noHBand="0" w:noVBand="1"/>
      </w:tblPr>
      <w:tblGrid>
        <w:gridCol w:w="1789"/>
        <w:gridCol w:w="4184"/>
        <w:gridCol w:w="3101"/>
        <w:gridCol w:w="4577"/>
      </w:tblGrid>
      <w:tr w:rsidR="00920693" w:rsidRPr="007326AB" w14:paraId="5BCE25E4" w14:textId="6EFA0168" w:rsidTr="0083677A">
        <w:trPr>
          <w:trHeight w:val="227"/>
          <w:tblHeader/>
        </w:trPr>
        <w:tc>
          <w:tcPr>
            <w:tcW w:w="1789" w:type="dxa"/>
            <w:shd w:val="clear" w:color="auto" w:fill="244061" w:themeFill="accent1" w:themeFillShade="80"/>
            <w:vAlign w:val="center"/>
          </w:tcPr>
          <w:p w14:paraId="3CFA6F25" w14:textId="77777777" w:rsidR="00920693" w:rsidRPr="007326AB" w:rsidRDefault="00920693"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Strategic objective</w:t>
            </w:r>
            <w:r>
              <w:rPr>
                <w:rFonts w:asciiTheme="majorHAnsi" w:hAnsiTheme="majorHAnsi"/>
                <w:b/>
                <w:color w:val="FFFFFF" w:themeColor="background1"/>
              </w:rPr>
              <w:t>s</w:t>
            </w:r>
          </w:p>
        </w:tc>
        <w:tc>
          <w:tcPr>
            <w:tcW w:w="4184" w:type="dxa"/>
            <w:shd w:val="clear" w:color="auto" w:fill="244061" w:themeFill="accent1" w:themeFillShade="80"/>
            <w:vAlign w:val="center"/>
          </w:tcPr>
          <w:p w14:paraId="6D022B9A" w14:textId="77777777" w:rsidR="00920693" w:rsidRPr="007326AB" w:rsidRDefault="00920693"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Strategies &amp; initiatives </w:t>
            </w:r>
          </w:p>
        </w:tc>
        <w:tc>
          <w:tcPr>
            <w:tcW w:w="3101" w:type="dxa"/>
            <w:shd w:val="clear" w:color="auto" w:fill="244061" w:themeFill="accent1" w:themeFillShade="80"/>
            <w:vAlign w:val="center"/>
          </w:tcPr>
          <w:p w14:paraId="097E04CB" w14:textId="495BCA74" w:rsidR="00920693" w:rsidRPr="007326AB" w:rsidRDefault="00920693" w:rsidP="007326AB">
            <w:pPr>
              <w:spacing w:line="240" w:lineRule="atLeast"/>
              <w:jc w:val="center"/>
              <w:rPr>
                <w:rFonts w:asciiTheme="majorHAnsi" w:hAnsiTheme="majorHAnsi"/>
                <w:b/>
                <w:color w:val="FFFFFF" w:themeColor="background1"/>
              </w:rPr>
            </w:pPr>
          </w:p>
        </w:tc>
        <w:tc>
          <w:tcPr>
            <w:tcW w:w="4577" w:type="dxa"/>
            <w:shd w:val="clear" w:color="auto" w:fill="244061" w:themeFill="accent1" w:themeFillShade="80"/>
            <w:vAlign w:val="center"/>
          </w:tcPr>
          <w:p w14:paraId="428AA44E" w14:textId="13DD47D9" w:rsidR="00920693" w:rsidRPr="007326AB" w:rsidRDefault="00920693" w:rsidP="007326AB">
            <w:pPr>
              <w:spacing w:line="240" w:lineRule="atLeast"/>
              <w:jc w:val="center"/>
              <w:rPr>
                <w:rFonts w:asciiTheme="majorHAnsi" w:hAnsiTheme="majorHAnsi"/>
                <w:b/>
                <w:color w:val="FFFFFF" w:themeColor="background1"/>
              </w:rPr>
            </w:pPr>
          </w:p>
        </w:tc>
      </w:tr>
      <w:tr w:rsidR="00920693" w:rsidRPr="007326AB" w14:paraId="56923A38" w14:textId="2616A6BE" w:rsidTr="0083677A">
        <w:trPr>
          <w:trHeight w:val="468"/>
          <w:tblHeader/>
        </w:trPr>
        <w:tc>
          <w:tcPr>
            <w:tcW w:w="1789" w:type="dxa"/>
            <w:shd w:val="clear" w:color="auto" w:fill="244061" w:themeFill="accent1" w:themeFillShade="80"/>
            <w:vAlign w:val="center"/>
          </w:tcPr>
          <w:p w14:paraId="1F6681E0" w14:textId="4095B371" w:rsidR="00920693" w:rsidRPr="007326AB" w:rsidRDefault="00920693"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 xml:space="preserve"> (as per </w:t>
            </w:r>
            <w:r>
              <w:rPr>
                <w:rFonts w:asciiTheme="majorHAnsi" w:hAnsiTheme="majorHAnsi"/>
                <w:color w:val="FFFFFF" w:themeColor="background1"/>
              </w:rPr>
              <w:t xml:space="preserve">INTOSAI </w:t>
            </w:r>
            <w:r w:rsidRPr="007326AB">
              <w:rPr>
                <w:rFonts w:asciiTheme="majorHAnsi" w:hAnsiTheme="majorHAnsi"/>
                <w:color w:val="FFFFFF" w:themeColor="background1"/>
              </w:rPr>
              <w:t>SP 2017-22)</w:t>
            </w:r>
          </w:p>
        </w:tc>
        <w:tc>
          <w:tcPr>
            <w:tcW w:w="4184" w:type="dxa"/>
            <w:shd w:val="clear" w:color="auto" w:fill="244061" w:themeFill="accent1" w:themeFillShade="80"/>
            <w:vAlign w:val="center"/>
          </w:tcPr>
          <w:p w14:paraId="6EAC8444" w14:textId="7E23C7C1" w:rsidR="00920693" w:rsidRPr="007326AB" w:rsidRDefault="00920693"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 xml:space="preserve"> (as per </w:t>
            </w:r>
            <w:r>
              <w:rPr>
                <w:rFonts w:asciiTheme="majorHAnsi" w:hAnsiTheme="majorHAnsi"/>
                <w:color w:val="FFFFFF" w:themeColor="background1"/>
              </w:rPr>
              <w:t xml:space="preserve">INTOSAI </w:t>
            </w:r>
            <w:r w:rsidRPr="007326AB">
              <w:rPr>
                <w:rFonts w:asciiTheme="majorHAnsi" w:hAnsiTheme="majorHAnsi"/>
                <w:color w:val="FFFFFF" w:themeColor="background1"/>
              </w:rPr>
              <w:t>SP 2017-22)</w:t>
            </w:r>
          </w:p>
        </w:tc>
        <w:tc>
          <w:tcPr>
            <w:tcW w:w="3101" w:type="dxa"/>
            <w:shd w:val="clear" w:color="auto" w:fill="244061" w:themeFill="accent1" w:themeFillShade="80"/>
            <w:vAlign w:val="center"/>
          </w:tcPr>
          <w:p w14:paraId="6B5B26C7" w14:textId="1A8CE84F" w:rsidR="00920693" w:rsidRPr="007326AB" w:rsidRDefault="00920693"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P</w:t>
            </w:r>
            <w:r>
              <w:rPr>
                <w:rFonts w:asciiTheme="majorHAnsi" w:hAnsiTheme="majorHAnsi"/>
                <w:b/>
                <w:color w:val="FFFFFF" w:themeColor="background1"/>
              </w:rPr>
              <w:t>rogress</w:t>
            </w:r>
            <w:r w:rsidRPr="007326AB">
              <w:rPr>
                <w:rFonts w:asciiTheme="majorHAnsi" w:hAnsiTheme="majorHAnsi"/>
                <w:b/>
                <w:color w:val="FFFFFF" w:themeColor="background1"/>
              </w:rPr>
              <w:t xml:space="preserve">  </w:t>
            </w:r>
          </w:p>
          <w:p w14:paraId="22EB86B9" w14:textId="77777777" w:rsidR="00920693" w:rsidRPr="007326AB" w:rsidRDefault="00920693"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indicator</w:t>
            </w:r>
            <w:r w:rsidRPr="007326AB">
              <w:rPr>
                <w:rStyle w:val="FootnoteReference"/>
                <w:rFonts w:asciiTheme="majorHAnsi" w:hAnsiTheme="majorHAnsi"/>
                <w:b/>
                <w:color w:val="FFFFFF" w:themeColor="background1"/>
              </w:rPr>
              <w:footnoteReference w:id="1"/>
            </w:r>
          </w:p>
        </w:tc>
        <w:tc>
          <w:tcPr>
            <w:tcW w:w="4577" w:type="dxa"/>
            <w:shd w:val="clear" w:color="auto" w:fill="244061" w:themeFill="accent1" w:themeFillShade="80"/>
            <w:vAlign w:val="center"/>
          </w:tcPr>
          <w:p w14:paraId="409C265F" w14:textId="21AA179B" w:rsidR="00920693" w:rsidRPr="007326AB" w:rsidRDefault="00920693"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Action items</w:t>
            </w:r>
            <w:r w:rsidRPr="007326AB">
              <w:rPr>
                <w:rStyle w:val="FootnoteReference"/>
                <w:rFonts w:asciiTheme="majorHAnsi" w:hAnsiTheme="majorHAnsi"/>
                <w:b/>
                <w:color w:val="FFFFFF" w:themeColor="background1"/>
              </w:rPr>
              <w:footnoteReference w:id="2"/>
            </w:r>
          </w:p>
          <w:p w14:paraId="4178E912" w14:textId="485B2EDB" w:rsidR="00920693" w:rsidRPr="007326AB" w:rsidRDefault="00920693" w:rsidP="00E33D68">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and other comment </w:t>
            </w:r>
            <w:r>
              <w:rPr>
                <w:rFonts w:asciiTheme="majorHAnsi" w:hAnsiTheme="majorHAnsi"/>
                <w:b/>
                <w:color w:val="FFFFFF" w:themeColor="background1"/>
              </w:rPr>
              <w:t xml:space="preserve">(as of </w:t>
            </w:r>
            <w:r w:rsidR="00E33D68">
              <w:rPr>
                <w:rFonts w:asciiTheme="majorHAnsi" w:hAnsiTheme="majorHAnsi"/>
                <w:b/>
                <w:color w:val="FFFFFF" w:themeColor="background1"/>
                <w:lang w:val="id-ID"/>
              </w:rPr>
              <w:t>19</w:t>
            </w:r>
            <w:r w:rsidR="00496717">
              <w:rPr>
                <w:rFonts w:asciiTheme="majorHAnsi" w:hAnsiTheme="majorHAnsi"/>
                <w:b/>
                <w:color w:val="FFFFFF" w:themeColor="background1"/>
                <w:lang w:val="id-ID"/>
              </w:rPr>
              <w:t xml:space="preserve"> </w:t>
            </w:r>
            <w:r w:rsidR="00E33D68">
              <w:rPr>
                <w:rFonts w:asciiTheme="majorHAnsi" w:hAnsiTheme="majorHAnsi"/>
                <w:b/>
                <w:color w:val="FFFFFF" w:themeColor="background1"/>
                <w:lang w:val="en-PH"/>
              </w:rPr>
              <w:t>August</w:t>
            </w:r>
            <w:r w:rsidR="00496717">
              <w:rPr>
                <w:rFonts w:asciiTheme="majorHAnsi" w:hAnsiTheme="majorHAnsi"/>
                <w:b/>
                <w:color w:val="FFFFFF" w:themeColor="background1"/>
                <w:lang w:val="id-ID"/>
              </w:rPr>
              <w:t xml:space="preserve"> 2020</w:t>
            </w:r>
            <w:r>
              <w:rPr>
                <w:rFonts w:asciiTheme="majorHAnsi" w:hAnsiTheme="majorHAnsi"/>
                <w:b/>
                <w:color w:val="FFFFFF" w:themeColor="background1"/>
              </w:rPr>
              <w:t>)</w:t>
            </w:r>
          </w:p>
        </w:tc>
      </w:tr>
      <w:tr w:rsidR="00920693" w:rsidRPr="007326AB" w14:paraId="38D04264" w14:textId="12ADD2C0" w:rsidTr="00C2201B">
        <w:trPr>
          <w:trHeight w:val="712"/>
        </w:trPr>
        <w:tc>
          <w:tcPr>
            <w:tcW w:w="1789" w:type="dxa"/>
            <w:tcBorders>
              <w:bottom w:val="single" w:sz="4" w:space="0" w:color="auto"/>
            </w:tcBorders>
          </w:tcPr>
          <w:p w14:paraId="01BBF26D" w14:textId="77777777" w:rsidR="00920693" w:rsidRPr="007326AB" w:rsidRDefault="00920693" w:rsidP="007957F4">
            <w:pPr>
              <w:pStyle w:val="Default"/>
              <w:spacing w:before="120"/>
              <w:rPr>
                <w:rFonts w:asciiTheme="majorHAnsi" w:hAnsiTheme="majorHAnsi" w:cs="Times New Roman"/>
                <w:color w:val="auto"/>
                <w:sz w:val="20"/>
                <w:szCs w:val="20"/>
              </w:rPr>
            </w:pPr>
            <w:r w:rsidRPr="007326AB">
              <w:rPr>
                <w:rFonts w:asciiTheme="majorHAnsi" w:hAnsiTheme="majorHAnsi" w:cs="Times New Roman"/>
                <w:color w:val="auto"/>
                <w:sz w:val="20"/>
                <w:szCs w:val="20"/>
              </w:rPr>
              <w:t>Develop and maintain expertise in the various fields of public-sector auditing and help to provide content to the INTOSAI Framework for Professional Pronouncements.</w:t>
            </w:r>
          </w:p>
          <w:p w14:paraId="224FEB6F" w14:textId="77777777" w:rsidR="00920693" w:rsidRPr="004F3993" w:rsidRDefault="00920693" w:rsidP="007957F4">
            <w:pPr>
              <w:autoSpaceDE w:val="0"/>
              <w:autoSpaceDN w:val="0"/>
              <w:adjustRightInd w:val="0"/>
              <w:spacing w:before="120" w:line="240" w:lineRule="auto"/>
              <w:rPr>
                <w:rFonts w:asciiTheme="majorHAnsi" w:hAnsiTheme="majorHAnsi"/>
              </w:rPr>
            </w:pPr>
          </w:p>
          <w:p w14:paraId="6F07BEC4" w14:textId="77777777" w:rsidR="00920693" w:rsidRPr="004F3993" w:rsidRDefault="00920693" w:rsidP="007957F4">
            <w:pPr>
              <w:autoSpaceDE w:val="0"/>
              <w:autoSpaceDN w:val="0"/>
              <w:adjustRightInd w:val="0"/>
              <w:spacing w:before="120" w:line="240" w:lineRule="auto"/>
              <w:rPr>
                <w:rFonts w:asciiTheme="majorHAnsi" w:hAnsiTheme="majorHAnsi"/>
              </w:rPr>
            </w:pPr>
          </w:p>
          <w:p w14:paraId="172E53F3" w14:textId="77777777" w:rsidR="00920693" w:rsidRPr="007326AB" w:rsidRDefault="00920693" w:rsidP="007957F4">
            <w:pPr>
              <w:autoSpaceDE w:val="0"/>
              <w:autoSpaceDN w:val="0"/>
              <w:adjustRightInd w:val="0"/>
              <w:spacing w:before="120" w:line="240" w:lineRule="auto"/>
              <w:rPr>
                <w:rFonts w:asciiTheme="majorHAnsi" w:eastAsia="Calibri" w:hAnsiTheme="majorHAnsi"/>
                <w:spacing w:val="-2"/>
              </w:rPr>
            </w:pPr>
          </w:p>
        </w:tc>
        <w:tc>
          <w:tcPr>
            <w:tcW w:w="4184" w:type="dxa"/>
            <w:tcBorders>
              <w:bottom w:val="single" w:sz="4" w:space="0" w:color="auto"/>
            </w:tcBorders>
            <w:shd w:val="clear" w:color="auto" w:fill="auto"/>
          </w:tcPr>
          <w:p w14:paraId="675756BC" w14:textId="0C02F7B2" w:rsidR="00920693" w:rsidRPr="007326AB" w:rsidRDefault="00920693" w:rsidP="007957F4">
            <w:pPr>
              <w:spacing w:before="120"/>
              <w:rPr>
                <w:rFonts w:asciiTheme="majorHAnsi" w:eastAsia="Calibri" w:hAnsiTheme="majorHAnsi"/>
                <w:spacing w:val="-1"/>
              </w:rPr>
            </w:pPr>
            <w:r w:rsidRPr="003A55C8">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3101" w:type="dxa"/>
            <w:shd w:val="clear" w:color="auto" w:fill="auto"/>
          </w:tcPr>
          <w:p w14:paraId="22884429" w14:textId="20C8DEAE" w:rsidR="00920693" w:rsidRPr="00D50059" w:rsidRDefault="00920693" w:rsidP="007957F4">
            <w:pPr>
              <w:spacing w:before="120"/>
              <w:rPr>
                <w:rFonts w:asciiTheme="majorHAnsi" w:hAnsiTheme="majorHAnsi"/>
                <w:i/>
                <w:color w:val="FFFFFF" w:themeColor="background1"/>
                <w:u w:val="single"/>
              </w:rPr>
            </w:pPr>
            <w:r w:rsidRPr="00D50059">
              <w:rPr>
                <w:rFonts w:asciiTheme="majorHAnsi" w:hAnsiTheme="majorHAnsi"/>
                <w:i/>
                <w:color w:val="FFFFFF" w:themeColor="background1"/>
                <w:u w:val="single"/>
              </w:rPr>
              <w:t>On consolidation and alignment of public debt ISSAIs with ISSAI 100 (Project 2.9)</w:t>
            </w:r>
          </w:p>
          <w:p w14:paraId="6527E815" w14:textId="77777777" w:rsidR="002E61CF" w:rsidRPr="00D50059" w:rsidRDefault="002E61CF" w:rsidP="002E61CF">
            <w:pPr>
              <w:pStyle w:val="ListParagraph"/>
              <w:spacing w:after="200" w:line="276" w:lineRule="auto"/>
              <w:ind w:left="245"/>
              <w:rPr>
                <w:rFonts w:asciiTheme="majorHAnsi" w:hAnsiTheme="majorHAnsi"/>
                <w:color w:val="FFFFFF" w:themeColor="background1"/>
              </w:rPr>
            </w:pPr>
          </w:p>
          <w:p w14:paraId="0B6A99EC" w14:textId="2CCA7695" w:rsidR="00920693" w:rsidRPr="00D50059" w:rsidRDefault="00920693" w:rsidP="00D50059">
            <w:pPr>
              <w:pStyle w:val="ListParagraph"/>
              <w:numPr>
                <w:ilvl w:val="0"/>
                <w:numId w:val="26"/>
              </w:numPr>
              <w:shd w:val="clear" w:color="auto" w:fill="000000" w:themeFill="text1"/>
              <w:spacing w:after="200" w:line="276" w:lineRule="auto"/>
              <w:ind w:left="245" w:hanging="245"/>
              <w:rPr>
                <w:rFonts w:asciiTheme="majorHAnsi" w:hAnsiTheme="majorHAnsi"/>
                <w:color w:val="FFFFFF" w:themeColor="background1"/>
              </w:rPr>
            </w:pPr>
            <w:r w:rsidRPr="00D50059">
              <w:rPr>
                <w:rFonts w:asciiTheme="majorHAnsi" w:hAnsiTheme="majorHAnsi"/>
                <w:color w:val="FFFFFF" w:themeColor="background1"/>
              </w:rPr>
              <w:t xml:space="preserve">Draft </w:t>
            </w:r>
            <w:r w:rsidR="00496717" w:rsidRPr="00D50059">
              <w:rPr>
                <w:rFonts w:asciiTheme="majorHAnsi" w:hAnsiTheme="majorHAnsi"/>
                <w:color w:val="FFFFFF" w:themeColor="background1"/>
                <w:lang w:val="id-ID"/>
              </w:rPr>
              <w:t>Endorsement Version of GUID 5250 approved</w:t>
            </w:r>
            <w:r w:rsidRPr="00D50059" w:rsidDel="00744B8F">
              <w:rPr>
                <w:rFonts w:asciiTheme="majorHAnsi" w:hAnsiTheme="majorHAnsi"/>
                <w:color w:val="FFFFFF" w:themeColor="background1"/>
              </w:rPr>
              <w:t xml:space="preserve"> </w:t>
            </w:r>
          </w:p>
          <w:p w14:paraId="6E481C55" w14:textId="77777777" w:rsidR="00920693" w:rsidRPr="00D50059" w:rsidRDefault="00920693" w:rsidP="00496717">
            <w:pPr>
              <w:pStyle w:val="ListParagraph"/>
              <w:spacing w:before="120" w:after="200" w:line="276" w:lineRule="auto"/>
              <w:ind w:left="245"/>
              <w:rPr>
                <w:rFonts w:asciiTheme="majorHAnsi" w:hAnsiTheme="majorHAnsi"/>
                <w:color w:val="FFFFFF" w:themeColor="background1"/>
              </w:rPr>
            </w:pPr>
          </w:p>
          <w:p w14:paraId="64C84193" w14:textId="77777777" w:rsidR="0065630A" w:rsidRPr="00D50059" w:rsidRDefault="0065630A" w:rsidP="00D50059">
            <w:pPr>
              <w:pStyle w:val="ListParagraph"/>
              <w:numPr>
                <w:ilvl w:val="0"/>
                <w:numId w:val="26"/>
              </w:numPr>
              <w:shd w:val="clear" w:color="auto" w:fill="000000" w:themeFill="text1"/>
              <w:spacing w:before="120" w:after="200" w:line="276" w:lineRule="auto"/>
              <w:ind w:left="245" w:hanging="245"/>
              <w:rPr>
                <w:rFonts w:asciiTheme="majorHAnsi" w:hAnsiTheme="majorHAnsi"/>
                <w:color w:val="FFFFFF" w:themeColor="background1"/>
                <w:shd w:val="clear" w:color="auto" w:fill="92D050"/>
              </w:rPr>
            </w:pPr>
            <w:r w:rsidRPr="00D50059">
              <w:rPr>
                <w:rFonts w:asciiTheme="majorHAnsi" w:hAnsiTheme="majorHAnsi"/>
                <w:color w:val="FFFFFF" w:themeColor="background1"/>
                <w:lang w:val="id-ID"/>
              </w:rPr>
              <w:t>Approved</w:t>
            </w:r>
            <w:r w:rsidRPr="00D50059">
              <w:rPr>
                <w:rFonts w:asciiTheme="majorHAnsi" w:hAnsiTheme="majorHAnsi"/>
                <w:color w:val="FFFFFF" w:themeColor="background1"/>
              </w:rPr>
              <w:t xml:space="preserve"> </w:t>
            </w:r>
            <w:r w:rsidRPr="00D50059">
              <w:rPr>
                <w:rFonts w:asciiTheme="majorHAnsi" w:hAnsiTheme="majorHAnsi"/>
                <w:color w:val="FFFFFF" w:themeColor="background1"/>
                <w:lang w:val="id-ID"/>
              </w:rPr>
              <w:t xml:space="preserve">Endorsement Version of GUID 5250 posted at the </w:t>
            </w:r>
            <w:r w:rsidR="00182571">
              <w:fldChar w:fldCharType="begin"/>
            </w:r>
            <w:r w:rsidR="00182571">
              <w:instrText xml:space="preserve"> HYPERLINK "http://www.issai.org" </w:instrText>
            </w:r>
            <w:r w:rsidR="00182571">
              <w:fldChar w:fldCharType="separate"/>
            </w:r>
            <w:r w:rsidRPr="00D50059">
              <w:rPr>
                <w:rStyle w:val="Hyperlink"/>
                <w:rFonts w:asciiTheme="majorHAnsi" w:hAnsiTheme="majorHAnsi"/>
                <w:color w:val="FFFFFF" w:themeColor="background1"/>
                <w:lang w:val="id-ID"/>
              </w:rPr>
              <w:t>www.issai.org</w:t>
            </w:r>
            <w:r w:rsidR="00182571">
              <w:rPr>
                <w:rStyle w:val="Hyperlink"/>
                <w:rFonts w:asciiTheme="majorHAnsi" w:hAnsiTheme="majorHAnsi"/>
                <w:color w:val="FFFFFF" w:themeColor="background1"/>
                <w:lang w:val="id-ID"/>
              </w:rPr>
              <w:fldChar w:fldCharType="end"/>
            </w:r>
          </w:p>
          <w:p w14:paraId="296256DD" w14:textId="77777777" w:rsidR="0065630A" w:rsidRPr="00D50059" w:rsidRDefault="0065630A" w:rsidP="0065630A">
            <w:pPr>
              <w:pStyle w:val="ListParagraph"/>
              <w:rPr>
                <w:rFonts w:asciiTheme="majorHAnsi" w:hAnsiTheme="majorHAnsi"/>
                <w:color w:val="FFFFFF" w:themeColor="background1"/>
                <w:shd w:val="clear" w:color="auto" w:fill="92D050"/>
              </w:rPr>
            </w:pPr>
          </w:p>
          <w:p w14:paraId="732ED1E9" w14:textId="70A34849" w:rsidR="00920693" w:rsidRPr="00D50059" w:rsidRDefault="0065630A" w:rsidP="00D50059">
            <w:pPr>
              <w:pStyle w:val="ListParagraph"/>
              <w:numPr>
                <w:ilvl w:val="0"/>
                <w:numId w:val="26"/>
              </w:numPr>
              <w:shd w:val="clear" w:color="auto" w:fill="000000" w:themeFill="text1"/>
              <w:spacing w:before="120" w:after="200" w:line="276" w:lineRule="auto"/>
              <w:ind w:left="245" w:hanging="245"/>
              <w:rPr>
                <w:rFonts w:asciiTheme="majorHAnsi" w:hAnsiTheme="majorHAnsi"/>
                <w:color w:val="FFFFFF" w:themeColor="background1"/>
                <w:highlight w:val="black"/>
              </w:rPr>
            </w:pPr>
            <w:r w:rsidRPr="00D50059">
              <w:rPr>
                <w:rFonts w:asciiTheme="majorHAnsi" w:hAnsiTheme="majorHAnsi"/>
                <w:color w:val="FFFFFF" w:themeColor="background1"/>
                <w:highlight w:val="black"/>
                <w:shd w:val="clear" w:color="auto" w:fill="92D050"/>
                <w:lang w:val="id-ID"/>
              </w:rPr>
              <w:t>Approved Endorsement Version of GUID 5250 translated into five official languages of the INTOSAI</w:t>
            </w:r>
          </w:p>
          <w:p w14:paraId="1CA752C0" w14:textId="4BB2B03E" w:rsidR="00920693" w:rsidRPr="00D50059" w:rsidRDefault="00D50059" w:rsidP="00D50059">
            <w:pPr>
              <w:pStyle w:val="ListParagraph"/>
              <w:numPr>
                <w:ilvl w:val="0"/>
                <w:numId w:val="26"/>
              </w:numPr>
              <w:shd w:val="clear" w:color="auto" w:fill="92D050"/>
              <w:spacing w:before="120"/>
              <w:ind w:left="245" w:hanging="245"/>
              <w:rPr>
                <w:rFonts w:asciiTheme="majorHAnsi" w:hAnsiTheme="majorHAnsi"/>
                <w:color w:val="FFFFFF" w:themeColor="background1"/>
              </w:rPr>
            </w:pPr>
            <w:r w:rsidRPr="00D50059">
              <w:rPr>
                <w:rFonts w:asciiTheme="majorHAnsi" w:hAnsiTheme="majorHAnsi"/>
              </w:rPr>
              <w:t xml:space="preserve">GUID 525O Final Pronouncement at the FIPP endorsed </w:t>
            </w:r>
            <w:r>
              <w:rPr>
                <w:rFonts w:asciiTheme="majorHAnsi" w:hAnsiTheme="majorHAnsi"/>
              </w:rPr>
              <w:t xml:space="preserve">and approved </w:t>
            </w:r>
            <w:r w:rsidRPr="00D50059">
              <w:rPr>
                <w:rFonts w:asciiTheme="majorHAnsi" w:hAnsiTheme="majorHAnsi"/>
              </w:rPr>
              <w:t>at the INTOSAI GB</w:t>
            </w:r>
          </w:p>
        </w:tc>
        <w:tc>
          <w:tcPr>
            <w:tcW w:w="4577" w:type="dxa"/>
            <w:shd w:val="clear" w:color="auto" w:fill="FFFFFF" w:themeFill="background1"/>
          </w:tcPr>
          <w:p w14:paraId="3DAC174B" w14:textId="77777777" w:rsidR="00602965" w:rsidRPr="006F30DC" w:rsidRDefault="00602965" w:rsidP="00C2201B">
            <w:pPr>
              <w:spacing w:before="120" w:after="120" w:line="240" w:lineRule="auto"/>
              <w:rPr>
                <w:rFonts w:asciiTheme="majorHAnsi" w:hAnsiTheme="majorHAnsi"/>
                <w:i/>
                <w:u w:val="single"/>
                <w:lang w:val="en-PH"/>
              </w:rPr>
            </w:pPr>
            <w:r w:rsidRPr="006F30DC">
              <w:rPr>
                <w:rFonts w:asciiTheme="majorHAnsi" w:hAnsiTheme="majorHAnsi"/>
                <w:i/>
                <w:u w:val="single"/>
                <w:lang w:val="en-PH"/>
              </w:rPr>
              <w:t>Progress to date</w:t>
            </w:r>
          </w:p>
          <w:p w14:paraId="0E0674F0" w14:textId="77777777" w:rsidR="00602965" w:rsidRPr="00FD5B72" w:rsidRDefault="00602965" w:rsidP="00C2201B">
            <w:pPr>
              <w:pStyle w:val="ListParagraph"/>
              <w:numPr>
                <w:ilvl w:val="0"/>
                <w:numId w:val="36"/>
              </w:numPr>
              <w:spacing w:line="240" w:lineRule="auto"/>
              <w:ind w:left="335"/>
              <w:rPr>
                <w:rFonts w:asciiTheme="majorHAnsi" w:hAnsiTheme="majorHAnsi"/>
                <w:lang w:val="en-PH"/>
              </w:rPr>
            </w:pPr>
            <w:r>
              <w:rPr>
                <w:rFonts w:asciiTheme="majorHAnsi" w:hAnsiTheme="majorHAnsi"/>
                <w:lang w:val="en-PH"/>
              </w:rPr>
              <w:t xml:space="preserve">On the </w:t>
            </w:r>
            <w:r>
              <w:rPr>
                <w:rFonts w:asciiTheme="majorHAnsi" w:hAnsiTheme="majorHAnsi"/>
              </w:rPr>
              <w:t>Endorsement Version of</w:t>
            </w:r>
            <w:r>
              <w:rPr>
                <w:rFonts w:asciiTheme="majorHAnsi" w:hAnsiTheme="majorHAnsi"/>
                <w:lang w:val="en-PH"/>
              </w:rPr>
              <w:t xml:space="preserve"> GUID</w:t>
            </w:r>
            <w:r>
              <w:rPr>
                <w:rFonts w:asciiTheme="majorHAnsi" w:hAnsiTheme="majorHAnsi"/>
                <w:lang w:val="id-ID"/>
              </w:rPr>
              <w:t xml:space="preserve"> 5250</w:t>
            </w:r>
            <w:r w:rsidRPr="00FD5B72">
              <w:rPr>
                <w:rFonts w:asciiTheme="majorHAnsi" w:hAnsiTheme="majorHAnsi"/>
                <w:lang w:val="en-PH"/>
              </w:rPr>
              <w:t>:</w:t>
            </w:r>
          </w:p>
          <w:p w14:paraId="28C0C2C0" w14:textId="77777777" w:rsidR="00602965" w:rsidRPr="0084321D" w:rsidRDefault="00602965" w:rsidP="00C2201B">
            <w:pPr>
              <w:pStyle w:val="ListParagraph"/>
              <w:numPr>
                <w:ilvl w:val="0"/>
                <w:numId w:val="34"/>
              </w:numPr>
              <w:spacing w:line="240" w:lineRule="auto"/>
              <w:ind w:left="760"/>
              <w:rPr>
                <w:rFonts w:asciiTheme="majorHAnsi" w:hAnsiTheme="majorHAnsi"/>
                <w:lang w:val="en-PH"/>
              </w:rPr>
            </w:pPr>
            <w:r w:rsidRPr="0084321D">
              <w:rPr>
                <w:rFonts w:asciiTheme="majorHAnsi" w:hAnsiTheme="majorHAnsi"/>
                <w:lang w:val="en-PH"/>
              </w:rPr>
              <w:t>Formatted the Endorsement version of the GUID 5250 that was uploaded by the PSC at issai.org on February 19, 2020;</w:t>
            </w:r>
          </w:p>
          <w:p w14:paraId="05FC15FF" w14:textId="5AAB03F5" w:rsidR="00602965" w:rsidRPr="0084321D" w:rsidRDefault="00602965" w:rsidP="00C2201B">
            <w:pPr>
              <w:pStyle w:val="ListParagraph"/>
              <w:numPr>
                <w:ilvl w:val="0"/>
                <w:numId w:val="34"/>
              </w:numPr>
              <w:spacing w:line="240" w:lineRule="auto"/>
              <w:ind w:left="760"/>
              <w:rPr>
                <w:rFonts w:asciiTheme="majorHAnsi" w:hAnsiTheme="majorHAnsi"/>
                <w:lang w:val="en-PH"/>
              </w:rPr>
            </w:pPr>
            <w:r w:rsidRPr="0084321D">
              <w:rPr>
                <w:rFonts w:asciiTheme="majorHAnsi" w:hAnsiTheme="majorHAnsi"/>
                <w:lang w:val="en-PH"/>
              </w:rPr>
              <w:t xml:space="preserve">Translated versions in five INTOSAI official languages received by the Secretariat on 15 July 2020, with </w:t>
            </w:r>
            <w:r w:rsidR="006716A7">
              <w:rPr>
                <w:rFonts w:asciiTheme="majorHAnsi" w:hAnsiTheme="majorHAnsi"/>
                <w:lang w:val="en-PH"/>
              </w:rPr>
              <w:t xml:space="preserve">minor editing done as of </w:t>
            </w:r>
            <w:r w:rsidRPr="0084321D">
              <w:rPr>
                <w:rFonts w:asciiTheme="majorHAnsi" w:hAnsiTheme="majorHAnsi"/>
                <w:lang w:val="en-PH"/>
              </w:rPr>
              <w:t>5 August 2020;</w:t>
            </w:r>
          </w:p>
          <w:p w14:paraId="32E48DBC" w14:textId="43341D70" w:rsidR="00602965" w:rsidRDefault="00602965" w:rsidP="00C2201B">
            <w:pPr>
              <w:pStyle w:val="ListParagraph"/>
              <w:numPr>
                <w:ilvl w:val="0"/>
                <w:numId w:val="34"/>
              </w:numPr>
              <w:spacing w:line="240" w:lineRule="auto"/>
              <w:ind w:left="760"/>
              <w:rPr>
                <w:rFonts w:asciiTheme="majorHAnsi" w:hAnsiTheme="majorHAnsi"/>
                <w:lang w:val="en-PH"/>
              </w:rPr>
            </w:pPr>
            <w:r w:rsidRPr="0084321D">
              <w:rPr>
                <w:rFonts w:asciiTheme="majorHAnsi" w:hAnsiTheme="majorHAnsi"/>
                <w:lang w:val="en-PH"/>
              </w:rPr>
              <w:t>GUID 5250 (all vers</w:t>
            </w:r>
            <w:r w:rsidR="00E33D68">
              <w:rPr>
                <w:rFonts w:asciiTheme="majorHAnsi" w:hAnsiTheme="majorHAnsi"/>
                <w:lang w:val="en-PH"/>
              </w:rPr>
              <w:t xml:space="preserve">ions) submitted to the KSC on </w:t>
            </w:r>
            <w:r w:rsidR="00F852C2">
              <w:rPr>
                <w:rFonts w:asciiTheme="majorHAnsi" w:hAnsiTheme="majorHAnsi"/>
                <w:lang w:val="en-PH"/>
              </w:rPr>
              <w:t>20</w:t>
            </w:r>
            <w:r w:rsidRPr="00E33D68">
              <w:rPr>
                <w:rFonts w:asciiTheme="majorHAnsi" w:hAnsiTheme="majorHAnsi"/>
                <w:color w:val="FF0000"/>
                <w:lang w:val="en-PH"/>
              </w:rPr>
              <w:t xml:space="preserve"> August 2020 </w:t>
            </w:r>
            <w:r w:rsidRPr="0084321D">
              <w:rPr>
                <w:rFonts w:asciiTheme="majorHAnsi" w:hAnsiTheme="majorHAnsi"/>
                <w:lang w:val="en-PH"/>
              </w:rPr>
              <w:t>for endorsement at the GB in November 2020.</w:t>
            </w:r>
          </w:p>
          <w:p w14:paraId="21CE1073" w14:textId="77777777" w:rsidR="00602965" w:rsidRPr="002A3B9C" w:rsidRDefault="00602965" w:rsidP="00C2201B">
            <w:pPr>
              <w:pStyle w:val="ListParagraph"/>
              <w:spacing w:line="240" w:lineRule="auto"/>
              <w:ind w:left="760"/>
              <w:rPr>
                <w:rFonts w:asciiTheme="majorHAnsi" w:hAnsiTheme="majorHAnsi"/>
                <w:lang w:val="en-PH"/>
              </w:rPr>
            </w:pPr>
          </w:p>
          <w:p w14:paraId="051E44AF" w14:textId="77777777" w:rsidR="00602965" w:rsidRDefault="00602965" w:rsidP="00C2201B">
            <w:pPr>
              <w:spacing w:line="240" w:lineRule="auto"/>
              <w:rPr>
                <w:rFonts w:asciiTheme="majorHAnsi" w:hAnsiTheme="majorHAnsi"/>
                <w:i/>
                <w:u w:val="single"/>
                <w:lang w:val="en-PH"/>
              </w:rPr>
            </w:pPr>
            <w:r>
              <w:rPr>
                <w:rFonts w:asciiTheme="majorHAnsi" w:hAnsiTheme="majorHAnsi"/>
                <w:i/>
                <w:u w:val="single"/>
                <w:lang w:val="en-PH"/>
              </w:rPr>
              <w:t>Action items / key next items</w:t>
            </w:r>
          </w:p>
          <w:p w14:paraId="753DA9D0" w14:textId="77777777" w:rsidR="00602965" w:rsidRPr="002A3B9C" w:rsidRDefault="00602965" w:rsidP="00C2201B">
            <w:pPr>
              <w:spacing w:line="240" w:lineRule="auto"/>
              <w:rPr>
                <w:rFonts w:asciiTheme="majorHAnsi" w:hAnsiTheme="majorHAnsi"/>
                <w:lang w:val="en-PH"/>
              </w:rPr>
            </w:pPr>
          </w:p>
          <w:p w14:paraId="52D5EAB4" w14:textId="77777777" w:rsidR="00FF7FBC" w:rsidRDefault="00602965" w:rsidP="00C2201B">
            <w:pPr>
              <w:pStyle w:val="ListParagraph"/>
              <w:numPr>
                <w:ilvl w:val="0"/>
                <w:numId w:val="40"/>
              </w:numPr>
              <w:spacing w:after="120" w:line="240" w:lineRule="auto"/>
              <w:ind w:left="376"/>
              <w:rPr>
                <w:rFonts w:asciiTheme="majorHAnsi" w:hAnsiTheme="majorHAnsi"/>
                <w:lang w:val="id-ID"/>
              </w:rPr>
            </w:pPr>
            <w:r w:rsidRPr="0084321D">
              <w:rPr>
                <w:rFonts w:asciiTheme="majorHAnsi" w:hAnsiTheme="majorHAnsi"/>
                <w:lang w:val="id-ID"/>
              </w:rPr>
              <w:t>The WGPD Chair shall make an oral presentation before the GB in November 2020, as per the Due Process of the IFPP, in support of the approval of the EV GUID 5250 and its final pronouncement by the FIPP.</w:t>
            </w:r>
          </w:p>
          <w:p w14:paraId="1F6D2279" w14:textId="7399D261" w:rsidR="00EC21A0" w:rsidRPr="00FF7FBC" w:rsidRDefault="00602965" w:rsidP="00C2201B">
            <w:pPr>
              <w:pStyle w:val="ListParagraph"/>
              <w:numPr>
                <w:ilvl w:val="0"/>
                <w:numId w:val="40"/>
              </w:numPr>
              <w:spacing w:after="120" w:line="240" w:lineRule="auto"/>
              <w:ind w:left="376"/>
              <w:rPr>
                <w:rFonts w:asciiTheme="majorHAnsi" w:hAnsiTheme="majorHAnsi"/>
                <w:lang w:val="id-ID"/>
              </w:rPr>
            </w:pPr>
            <w:r w:rsidRPr="00FF7FBC">
              <w:rPr>
                <w:rFonts w:asciiTheme="majorHAnsi" w:hAnsiTheme="majorHAnsi"/>
                <w:lang w:val="id-ID"/>
              </w:rPr>
              <w:lastRenderedPageBreak/>
              <w:t>Once approved, the link to the GUID shall be posted at the WGPD COP.</w:t>
            </w:r>
          </w:p>
        </w:tc>
      </w:tr>
      <w:tr w:rsidR="00A94C2D" w:rsidRPr="007326AB" w14:paraId="308CBE30" w14:textId="77777777" w:rsidTr="0083677A">
        <w:tblPrEx>
          <w:tblCellMar>
            <w:left w:w="108" w:type="dxa"/>
            <w:right w:w="108" w:type="dxa"/>
          </w:tblCellMar>
        </w:tblPrEx>
        <w:trPr>
          <w:trHeight w:val="1413"/>
        </w:trPr>
        <w:tc>
          <w:tcPr>
            <w:tcW w:w="1789" w:type="dxa"/>
          </w:tcPr>
          <w:p w14:paraId="1B411565" w14:textId="77777777" w:rsidR="00A94C2D" w:rsidRPr="007326AB" w:rsidRDefault="00A94C2D" w:rsidP="00D56D2D">
            <w:pPr>
              <w:rPr>
                <w:rFonts w:asciiTheme="majorHAnsi" w:hAnsiTheme="majorHAnsi"/>
              </w:rPr>
            </w:pPr>
          </w:p>
        </w:tc>
        <w:tc>
          <w:tcPr>
            <w:tcW w:w="4184" w:type="dxa"/>
          </w:tcPr>
          <w:p w14:paraId="2ADE8B66" w14:textId="77777777" w:rsidR="00A94C2D" w:rsidRPr="00B64554" w:rsidRDefault="00A94C2D" w:rsidP="007957F4">
            <w:pPr>
              <w:autoSpaceDE w:val="0"/>
              <w:autoSpaceDN w:val="0"/>
              <w:adjustRightInd w:val="0"/>
              <w:spacing w:before="120" w:line="240" w:lineRule="auto"/>
              <w:jc w:val="both"/>
              <w:rPr>
                <w:rFonts w:asciiTheme="majorHAnsi" w:hAnsiTheme="majorHAnsi"/>
              </w:rPr>
            </w:pPr>
          </w:p>
        </w:tc>
        <w:tc>
          <w:tcPr>
            <w:tcW w:w="3101" w:type="dxa"/>
            <w:shd w:val="clear" w:color="auto" w:fill="auto"/>
          </w:tcPr>
          <w:p w14:paraId="05F236CE" w14:textId="74F9EC8F" w:rsidR="007375DA" w:rsidRPr="00DA24A3" w:rsidRDefault="00322A66" w:rsidP="00322A66">
            <w:pPr>
              <w:spacing w:before="120"/>
              <w:rPr>
                <w:rFonts w:asciiTheme="majorHAnsi" w:hAnsiTheme="majorHAnsi"/>
                <w:i/>
                <w:u w:val="single"/>
                <w:shd w:val="clear" w:color="auto" w:fill="92D050"/>
                <w:lang w:val="id-ID"/>
              </w:rPr>
            </w:pPr>
            <w:r w:rsidRPr="00322A66">
              <w:rPr>
                <w:rFonts w:asciiTheme="majorHAnsi" w:hAnsiTheme="majorHAnsi"/>
                <w:i/>
                <w:u w:val="single"/>
                <w:shd w:val="clear" w:color="auto" w:fill="92D050"/>
                <w:lang w:val="id-ID"/>
              </w:rPr>
              <w:t>On mapping of PD ISSAIs</w:t>
            </w:r>
            <w:r>
              <w:rPr>
                <w:rFonts w:asciiTheme="majorHAnsi" w:hAnsiTheme="majorHAnsi"/>
                <w:i/>
                <w:u w:val="single"/>
                <w:shd w:val="clear" w:color="auto" w:fill="92D050"/>
                <w:lang w:val="id-ID"/>
              </w:rPr>
              <w:t xml:space="preserve"> </w:t>
            </w:r>
          </w:p>
          <w:p w14:paraId="36969B60" w14:textId="19475186" w:rsidR="00D50059" w:rsidRDefault="007375DA" w:rsidP="007375DA">
            <w:pPr>
              <w:pStyle w:val="ListParagraph"/>
              <w:numPr>
                <w:ilvl w:val="0"/>
                <w:numId w:val="26"/>
              </w:numPr>
              <w:shd w:val="clear" w:color="auto" w:fill="92D050"/>
              <w:spacing w:before="120"/>
              <w:ind w:left="245" w:hanging="245"/>
              <w:rPr>
                <w:rFonts w:asciiTheme="majorHAnsi" w:hAnsiTheme="majorHAnsi"/>
                <w:highlight w:val="cyan"/>
              </w:rPr>
            </w:pPr>
            <w:r w:rsidRPr="00D50059">
              <w:rPr>
                <w:rFonts w:asciiTheme="majorHAnsi" w:hAnsiTheme="majorHAnsi"/>
                <w:shd w:val="clear" w:color="auto" w:fill="000000" w:themeFill="text1"/>
                <w:lang w:val="id-ID"/>
              </w:rPr>
              <w:t>Relevant PD ISSAIs’ provisions not included in the GUID 5250 but may be developed as non IFPP guidance material mapped</w:t>
            </w:r>
            <w:r w:rsidR="00322A66" w:rsidRPr="00D50059">
              <w:rPr>
                <w:rFonts w:asciiTheme="majorHAnsi" w:hAnsiTheme="majorHAnsi"/>
                <w:shd w:val="clear" w:color="auto" w:fill="000000" w:themeFill="text1"/>
                <w:lang w:val="id-ID"/>
              </w:rPr>
              <w:t xml:space="preserve"> and analyzed</w:t>
            </w:r>
          </w:p>
          <w:p w14:paraId="600F4470" w14:textId="4DD4FA48" w:rsidR="00D50059" w:rsidRDefault="00D50059" w:rsidP="00D50059">
            <w:pPr>
              <w:rPr>
                <w:highlight w:val="cyan"/>
              </w:rPr>
            </w:pPr>
          </w:p>
          <w:p w14:paraId="7E926F40" w14:textId="099A7DA2" w:rsidR="00D50059" w:rsidRDefault="00D50059" w:rsidP="00D50059">
            <w:pPr>
              <w:rPr>
                <w:highlight w:val="cyan"/>
              </w:rPr>
            </w:pPr>
          </w:p>
          <w:p w14:paraId="06D2620F" w14:textId="77777777" w:rsidR="00A94C2D" w:rsidRPr="0024786A" w:rsidRDefault="00A94C2D" w:rsidP="0024786A">
            <w:pPr>
              <w:rPr>
                <w:highlight w:val="cyan"/>
              </w:rPr>
            </w:pPr>
          </w:p>
        </w:tc>
        <w:tc>
          <w:tcPr>
            <w:tcW w:w="4577" w:type="dxa"/>
          </w:tcPr>
          <w:p w14:paraId="43B8D9E8" w14:textId="77777777" w:rsidR="00602965" w:rsidRPr="006F30DC" w:rsidRDefault="00602965" w:rsidP="00602965">
            <w:pPr>
              <w:spacing w:before="120" w:after="120" w:line="240" w:lineRule="auto"/>
              <w:rPr>
                <w:rFonts w:asciiTheme="majorHAnsi" w:hAnsiTheme="majorHAnsi"/>
                <w:i/>
                <w:u w:val="single"/>
                <w:lang w:val="en-PH"/>
              </w:rPr>
            </w:pPr>
            <w:r w:rsidRPr="006F30DC">
              <w:rPr>
                <w:rFonts w:asciiTheme="majorHAnsi" w:hAnsiTheme="majorHAnsi"/>
                <w:i/>
                <w:u w:val="single"/>
                <w:lang w:val="en-PH"/>
              </w:rPr>
              <w:t>Progress to date</w:t>
            </w:r>
          </w:p>
          <w:p w14:paraId="7ABE75F1" w14:textId="5A0F4D67" w:rsidR="0015163A" w:rsidRPr="0015163A" w:rsidRDefault="00602965" w:rsidP="0015163A">
            <w:pPr>
              <w:pStyle w:val="ListParagraph"/>
              <w:numPr>
                <w:ilvl w:val="0"/>
                <w:numId w:val="53"/>
              </w:numPr>
              <w:spacing w:after="240" w:line="240" w:lineRule="auto"/>
              <w:ind w:left="383"/>
              <w:jc w:val="both"/>
              <w:rPr>
                <w:rFonts w:asciiTheme="majorHAnsi" w:hAnsiTheme="majorHAnsi"/>
                <w:lang w:val="id-ID"/>
              </w:rPr>
            </w:pPr>
            <w:r w:rsidRPr="004328C2">
              <w:rPr>
                <w:rFonts w:asciiTheme="majorHAnsi" w:hAnsiTheme="majorHAnsi"/>
                <w:lang w:val="id-ID"/>
              </w:rPr>
              <w:t>In July 2019, the Secretariat conducted a survey among WGPD members for the purpose of mapping the PD ISSAIs - ascertaining which among the provisions in the seven ISSAIs that have not been considered in the GUID 5250 is still relevant and useful guidance for auditors and which may be developed into a non IFPP material or guidance.</w:t>
            </w:r>
          </w:p>
          <w:p w14:paraId="5C0D565C" w14:textId="0EBB93BE" w:rsidR="0015163A" w:rsidRPr="0015163A" w:rsidRDefault="00581A25" w:rsidP="0015163A">
            <w:pPr>
              <w:pStyle w:val="ListParagraph"/>
              <w:numPr>
                <w:ilvl w:val="0"/>
                <w:numId w:val="53"/>
              </w:numPr>
              <w:spacing w:before="120" w:after="120" w:line="240" w:lineRule="auto"/>
              <w:ind w:left="383"/>
              <w:jc w:val="both"/>
              <w:rPr>
                <w:rFonts w:asciiTheme="majorHAnsi" w:hAnsiTheme="majorHAnsi"/>
                <w:lang w:val="id-ID"/>
              </w:rPr>
            </w:pPr>
            <w:r>
              <w:rPr>
                <w:rFonts w:asciiTheme="majorHAnsi" w:hAnsiTheme="majorHAnsi"/>
                <w:lang w:val="en-ID"/>
              </w:rPr>
              <w:t>T</w:t>
            </w:r>
            <w:r w:rsidR="00602965" w:rsidRPr="004328C2">
              <w:rPr>
                <w:rFonts w:asciiTheme="majorHAnsi" w:hAnsiTheme="majorHAnsi"/>
                <w:lang w:val="id-ID"/>
              </w:rPr>
              <w:t xml:space="preserve">he consolidated responses and comments from 23 SAIs were analyzed by </w:t>
            </w:r>
            <w:r w:rsidR="0065630A">
              <w:rPr>
                <w:rFonts w:asciiTheme="majorHAnsi" w:hAnsiTheme="majorHAnsi"/>
                <w:lang w:val="en-PH"/>
              </w:rPr>
              <w:t>SAI Philippines</w:t>
            </w:r>
            <w:r w:rsidR="00602965" w:rsidRPr="004328C2">
              <w:rPr>
                <w:rFonts w:asciiTheme="majorHAnsi" w:hAnsiTheme="majorHAnsi"/>
                <w:lang w:val="id-ID"/>
              </w:rPr>
              <w:t xml:space="preserve"> and the initial disposition circulated to the </w:t>
            </w:r>
            <w:r w:rsidR="0065630A">
              <w:rPr>
                <w:rFonts w:asciiTheme="majorHAnsi" w:hAnsiTheme="majorHAnsi"/>
                <w:lang w:val="en-PH"/>
              </w:rPr>
              <w:t>WGPD members</w:t>
            </w:r>
            <w:r w:rsidR="00602965" w:rsidRPr="004328C2">
              <w:rPr>
                <w:rFonts w:asciiTheme="majorHAnsi" w:hAnsiTheme="majorHAnsi"/>
                <w:lang w:val="id-ID"/>
              </w:rPr>
              <w:t xml:space="preserve"> </w:t>
            </w:r>
            <w:r>
              <w:rPr>
                <w:rFonts w:asciiTheme="majorHAnsi" w:hAnsiTheme="majorHAnsi"/>
                <w:lang w:val="en-ID"/>
              </w:rPr>
              <w:t xml:space="preserve">on 05 August 2020 </w:t>
            </w:r>
            <w:r w:rsidR="00602965" w:rsidRPr="004328C2">
              <w:rPr>
                <w:rFonts w:asciiTheme="majorHAnsi" w:hAnsiTheme="majorHAnsi"/>
                <w:lang w:val="id-ID"/>
              </w:rPr>
              <w:t>for comment.</w:t>
            </w:r>
          </w:p>
          <w:p w14:paraId="35228884" w14:textId="40C8DE55" w:rsidR="0015163A" w:rsidRPr="0015163A" w:rsidRDefault="0015163A" w:rsidP="0015163A">
            <w:pPr>
              <w:pStyle w:val="ListParagraph"/>
              <w:numPr>
                <w:ilvl w:val="0"/>
                <w:numId w:val="53"/>
              </w:numPr>
              <w:spacing w:after="120" w:line="240" w:lineRule="auto"/>
              <w:ind w:left="383"/>
              <w:jc w:val="both"/>
              <w:rPr>
                <w:rFonts w:asciiTheme="majorHAnsi" w:hAnsiTheme="majorHAnsi"/>
                <w:lang w:val="id-ID"/>
              </w:rPr>
            </w:pPr>
            <w:r w:rsidRPr="0015163A">
              <w:rPr>
                <w:rFonts w:asciiTheme="majorHAnsi" w:hAnsiTheme="majorHAnsi"/>
                <w:lang w:val="id-ID"/>
              </w:rPr>
              <w:t xml:space="preserve">ISSAI 5430 - Fiscal Exposures was initially part of Project 2.9 GUID 5250 Appendices, where a sub-task team led by SAI of Russian Federation was assigned. FIPP recommended to take this ISSAI subject out of GUID 5250 and suggested to develop a non-IFPP guidance document for use of public debt auditors. </w:t>
            </w:r>
          </w:p>
          <w:p w14:paraId="2C26801B" w14:textId="08DBFE7B" w:rsidR="0015163A" w:rsidRPr="004328C2" w:rsidRDefault="0015163A" w:rsidP="0015163A">
            <w:pPr>
              <w:pStyle w:val="ListParagraph"/>
              <w:numPr>
                <w:ilvl w:val="0"/>
                <w:numId w:val="53"/>
              </w:numPr>
              <w:spacing w:before="120" w:after="120" w:line="240" w:lineRule="auto"/>
              <w:ind w:left="383"/>
              <w:jc w:val="both"/>
              <w:rPr>
                <w:rFonts w:asciiTheme="majorHAnsi" w:hAnsiTheme="majorHAnsi"/>
                <w:lang w:val="id-ID"/>
              </w:rPr>
            </w:pPr>
            <w:r w:rsidRPr="0015163A">
              <w:rPr>
                <w:rFonts w:asciiTheme="majorHAnsi" w:hAnsiTheme="majorHAnsi"/>
                <w:lang w:val="id-ID"/>
              </w:rPr>
              <w:t xml:space="preserve">Based on the query of SAI Russia, on 18 February 2020 regarding the development of a non-IFPP document on ISSAI 5430 – Fiscal Exposures, SAI Philippines advised SAI of Russian Federation to collaborate with its sub-task members for the purpose of checking the latter's concurrence to proceed with the development of the document in a format most suited for an IFPP document. If SAI of Russian Federation, as sub-task lead for Appendices for Project 2.9 still wants to maintain the same </w:t>
            </w:r>
            <w:r w:rsidRPr="0015163A">
              <w:rPr>
                <w:rFonts w:asciiTheme="majorHAnsi" w:hAnsiTheme="majorHAnsi"/>
                <w:lang w:val="id-ID"/>
              </w:rPr>
              <w:lastRenderedPageBreak/>
              <w:t>team composition and assume the role as lead for this project; and later to decide on the format and other requirements, the Secretariat shall require a TOR formalizing this project, including the project team composition.</w:t>
            </w:r>
          </w:p>
          <w:p w14:paraId="7828D879" w14:textId="77777777" w:rsidR="00602965" w:rsidRDefault="00602965" w:rsidP="00602965">
            <w:pPr>
              <w:spacing w:after="120" w:line="240" w:lineRule="auto"/>
              <w:jc w:val="both"/>
              <w:rPr>
                <w:rFonts w:asciiTheme="majorHAnsi" w:hAnsiTheme="majorHAnsi"/>
                <w:i/>
                <w:u w:val="single"/>
                <w:lang w:val="en-PH"/>
              </w:rPr>
            </w:pPr>
            <w:r w:rsidRPr="000F254A">
              <w:rPr>
                <w:rFonts w:asciiTheme="majorHAnsi" w:hAnsiTheme="majorHAnsi"/>
                <w:i/>
                <w:u w:val="single"/>
                <w:lang w:val="en-PH"/>
              </w:rPr>
              <w:t>Action items / key next items</w:t>
            </w:r>
          </w:p>
          <w:p w14:paraId="13D2CC0F" w14:textId="67B53A08" w:rsidR="00602965" w:rsidRDefault="00602965" w:rsidP="0015163A">
            <w:pPr>
              <w:pStyle w:val="ListParagraph"/>
              <w:numPr>
                <w:ilvl w:val="0"/>
                <w:numId w:val="56"/>
              </w:numPr>
              <w:spacing w:after="120" w:line="240" w:lineRule="auto"/>
              <w:ind w:left="383"/>
              <w:jc w:val="both"/>
              <w:rPr>
                <w:rFonts w:asciiTheme="majorHAnsi" w:hAnsiTheme="majorHAnsi"/>
                <w:lang w:val="id-ID"/>
              </w:rPr>
            </w:pPr>
            <w:r w:rsidRPr="004328C2">
              <w:rPr>
                <w:rFonts w:asciiTheme="majorHAnsi" w:hAnsiTheme="majorHAnsi"/>
                <w:lang w:val="id-ID"/>
              </w:rPr>
              <w:t xml:space="preserve">Once the comments and suggestions are received from the members, </w:t>
            </w:r>
            <w:r w:rsidR="006716A7">
              <w:rPr>
                <w:rFonts w:asciiTheme="majorHAnsi" w:hAnsiTheme="majorHAnsi"/>
                <w:lang w:val="en-PH"/>
              </w:rPr>
              <w:t>SAI Philippines</w:t>
            </w:r>
            <w:r w:rsidRPr="004328C2">
              <w:rPr>
                <w:rFonts w:asciiTheme="majorHAnsi" w:hAnsiTheme="majorHAnsi"/>
                <w:lang w:val="id-ID"/>
              </w:rPr>
              <w:t xml:space="preserve"> shall finalize the line-up of proposed projects and activities with tentative timelines.</w:t>
            </w:r>
          </w:p>
          <w:p w14:paraId="4AD38B1D" w14:textId="23486A66" w:rsidR="0015163A" w:rsidRPr="0015163A" w:rsidRDefault="00602965" w:rsidP="0015163A">
            <w:pPr>
              <w:pStyle w:val="ListParagraph"/>
              <w:numPr>
                <w:ilvl w:val="0"/>
                <w:numId w:val="56"/>
              </w:numPr>
              <w:spacing w:after="120" w:line="240" w:lineRule="auto"/>
              <w:ind w:left="383"/>
              <w:jc w:val="both"/>
              <w:rPr>
                <w:rFonts w:asciiTheme="majorHAnsi" w:hAnsiTheme="majorHAnsi"/>
                <w:lang w:val="id-ID"/>
              </w:rPr>
            </w:pPr>
            <w:r w:rsidRPr="00602965">
              <w:rPr>
                <w:rFonts w:asciiTheme="majorHAnsi" w:hAnsiTheme="majorHAnsi"/>
                <w:lang w:val="id-ID"/>
              </w:rPr>
              <w:t>The list of proposed projects and activities shall be circulated to the WGPD members for 'call for project lead/ membership.</w:t>
            </w:r>
          </w:p>
        </w:tc>
      </w:tr>
      <w:tr w:rsidR="004F1525" w:rsidRPr="007326AB" w14:paraId="02A71485" w14:textId="77777777" w:rsidTr="00581A25">
        <w:tblPrEx>
          <w:tblCellMar>
            <w:left w:w="108" w:type="dxa"/>
            <w:right w:w="108" w:type="dxa"/>
          </w:tblCellMar>
        </w:tblPrEx>
        <w:trPr>
          <w:trHeight w:val="4753"/>
        </w:trPr>
        <w:tc>
          <w:tcPr>
            <w:tcW w:w="1789" w:type="dxa"/>
          </w:tcPr>
          <w:p w14:paraId="2618D4C0" w14:textId="77777777" w:rsidR="004F1525" w:rsidRPr="007326AB" w:rsidRDefault="004F1525" w:rsidP="00D56D2D">
            <w:pPr>
              <w:rPr>
                <w:rFonts w:asciiTheme="majorHAnsi" w:hAnsiTheme="majorHAnsi"/>
              </w:rPr>
            </w:pPr>
          </w:p>
        </w:tc>
        <w:tc>
          <w:tcPr>
            <w:tcW w:w="4184" w:type="dxa"/>
          </w:tcPr>
          <w:p w14:paraId="21A69D4C" w14:textId="77777777" w:rsidR="004F1525" w:rsidRPr="00B64554" w:rsidRDefault="004F1525" w:rsidP="007957F4">
            <w:pPr>
              <w:autoSpaceDE w:val="0"/>
              <w:autoSpaceDN w:val="0"/>
              <w:adjustRightInd w:val="0"/>
              <w:spacing w:before="120" w:line="240" w:lineRule="auto"/>
              <w:jc w:val="both"/>
              <w:rPr>
                <w:rFonts w:asciiTheme="majorHAnsi" w:hAnsiTheme="majorHAnsi"/>
              </w:rPr>
            </w:pPr>
          </w:p>
        </w:tc>
        <w:tc>
          <w:tcPr>
            <w:tcW w:w="3101" w:type="dxa"/>
            <w:shd w:val="clear" w:color="auto" w:fill="auto"/>
          </w:tcPr>
          <w:p w14:paraId="7C7E6B00" w14:textId="401E3437" w:rsidR="004F1525" w:rsidRPr="00DA24A3" w:rsidRDefault="004F1525" w:rsidP="004F1525">
            <w:pPr>
              <w:spacing w:before="120"/>
              <w:rPr>
                <w:rFonts w:asciiTheme="majorHAnsi" w:hAnsiTheme="majorHAnsi"/>
                <w:i/>
                <w:u w:val="single"/>
                <w:shd w:val="clear" w:color="auto" w:fill="92D050"/>
                <w:lang w:val="id-ID"/>
              </w:rPr>
            </w:pPr>
            <w:r w:rsidRPr="00322A66">
              <w:rPr>
                <w:rFonts w:asciiTheme="majorHAnsi" w:hAnsiTheme="majorHAnsi"/>
                <w:i/>
                <w:u w:val="single"/>
                <w:shd w:val="clear" w:color="auto" w:fill="92D050"/>
                <w:lang w:val="id-ID"/>
              </w:rPr>
              <w:t xml:space="preserve">On </w:t>
            </w:r>
            <w:r>
              <w:rPr>
                <w:rFonts w:asciiTheme="majorHAnsi" w:hAnsiTheme="majorHAnsi"/>
                <w:i/>
                <w:u w:val="single"/>
                <w:shd w:val="clear" w:color="auto" w:fill="92D050"/>
                <w:lang w:val="id-ID"/>
              </w:rPr>
              <w:t>withdrawal</w:t>
            </w:r>
            <w:r w:rsidRPr="00322A66">
              <w:rPr>
                <w:rFonts w:asciiTheme="majorHAnsi" w:hAnsiTheme="majorHAnsi"/>
                <w:i/>
                <w:u w:val="single"/>
                <w:shd w:val="clear" w:color="auto" w:fill="92D050"/>
                <w:lang w:val="id-ID"/>
              </w:rPr>
              <w:t xml:space="preserve"> of PD ISSAIs</w:t>
            </w:r>
            <w:r>
              <w:rPr>
                <w:rFonts w:asciiTheme="majorHAnsi" w:hAnsiTheme="majorHAnsi"/>
                <w:i/>
                <w:u w:val="single"/>
                <w:shd w:val="clear" w:color="auto" w:fill="92D050"/>
                <w:lang w:val="id-ID"/>
              </w:rPr>
              <w:t xml:space="preserve"> </w:t>
            </w:r>
          </w:p>
          <w:p w14:paraId="61C5F5F9" w14:textId="7F47D109" w:rsidR="004F1525" w:rsidRDefault="004F1525" w:rsidP="004F1525">
            <w:pPr>
              <w:pStyle w:val="ListParagraph"/>
              <w:numPr>
                <w:ilvl w:val="0"/>
                <w:numId w:val="45"/>
              </w:numPr>
              <w:spacing w:before="120"/>
              <w:ind w:left="360"/>
              <w:rPr>
                <w:rFonts w:asciiTheme="majorHAnsi" w:hAnsiTheme="majorHAnsi"/>
                <w:shd w:val="clear" w:color="auto" w:fill="92D050"/>
                <w:lang w:val="id-ID"/>
              </w:rPr>
            </w:pPr>
            <w:r w:rsidRPr="004F1525">
              <w:rPr>
                <w:rFonts w:asciiTheme="majorHAnsi" w:hAnsiTheme="majorHAnsi"/>
                <w:shd w:val="clear" w:color="auto" w:fill="92D050"/>
                <w:lang w:val="id-ID"/>
              </w:rPr>
              <w:t>No. of PD ISSAIs proposed for withdrawal</w:t>
            </w:r>
          </w:p>
          <w:p w14:paraId="012B4474" w14:textId="77777777" w:rsidR="0024786A" w:rsidRDefault="0024786A" w:rsidP="0024786A">
            <w:pPr>
              <w:pStyle w:val="ListParagraph"/>
              <w:spacing w:before="120"/>
              <w:ind w:left="360"/>
              <w:rPr>
                <w:rFonts w:asciiTheme="majorHAnsi" w:hAnsiTheme="majorHAnsi"/>
                <w:shd w:val="clear" w:color="auto" w:fill="92D050"/>
                <w:lang w:val="id-ID"/>
              </w:rPr>
            </w:pPr>
          </w:p>
          <w:p w14:paraId="474E406F" w14:textId="1DEB0508" w:rsidR="0024786A" w:rsidRPr="004F1525" w:rsidRDefault="0024786A" w:rsidP="0024786A">
            <w:pPr>
              <w:pStyle w:val="ListParagraph"/>
              <w:spacing w:before="120"/>
              <w:ind w:left="360"/>
              <w:rPr>
                <w:rFonts w:asciiTheme="majorHAnsi" w:hAnsiTheme="majorHAnsi"/>
                <w:shd w:val="clear" w:color="auto" w:fill="92D050"/>
                <w:lang w:val="id-ID"/>
              </w:rPr>
            </w:pPr>
          </w:p>
          <w:p w14:paraId="0FED3465" w14:textId="18DBD8B0" w:rsidR="004F1525" w:rsidRPr="00322A66" w:rsidRDefault="004F1525" w:rsidP="004F1525">
            <w:pPr>
              <w:spacing w:before="120"/>
              <w:rPr>
                <w:rFonts w:asciiTheme="majorHAnsi" w:hAnsiTheme="majorHAnsi"/>
                <w:i/>
                <w:u w:val="single"/>
                <w:shd w:val="clear" w:color="auto" w:fill="92D050"/>
                <w:lang w:val="id-ID"/>
              </w:rPr>
            </w:pPr>
          </w:p>
        </w:tc>
        <w:tc>
          <w:tcPr>
            <w:tcW w:w="4577" w:type="dxa"/>
          </w:tcPr>
          <w:p w14:paraId="589F1E4B" w14:textId="77777777" w:rsidR="004F1525" w:rsidRPr="004F1525" w:rsidRDefault="004F1525" w:rsidP="00DA3D17">
            <w:pPr>
              <w:spacing w:before="120" w:after="120" w:line="240" w:lineRule="auto"/>
              <w:rPr>
                <w:rFonts w:asciiTheme="majorHAnsi" w:eastAsiaTheme="minorHAnsi" w:hAnsiTheme="majorHAnsi" w:cstheme="minorBidi"/>
                <w:i/>
                <w:sz w:val="22"/>
                <w:szCs w:val="22"/>
                <w:u w:val="single"/>
                <w:lang w:val="id-ID"/>
              </w:rPr>
            </w:pPr>
            <w:r w:rsidRPr="004F1525">
              <w:rPr>
                <w:rFonts w:asciiTheme="majorHAnsi" w:eastAsiaTheme="minorHAnsi" w:hAnsiTheme="majorHAnsi" w:cstheme="minorBidi"/>
                <w:i/>
                <w:sz w:val="22"/>
                <w:szCs w:val="22"/>
                <w:u w:val="single"/>
                <w:lang w:val="id-ID"/>
              </w:rPr>
              <w:t>Progress to date</w:t>
            </w:r>
          </w:p>
          <w:p w14:paraId="6B5A11C3" w14:textId="77777777" w:rsidR="004F1525" w:rsidRPr="004F1525" w:rsidRDefault="004F1525" w:rsidP="0015163A">
            <w:pPr>
              <w:spacing w:before="120" w:after="200" w:line="240" w:lineRule="auto"/>
              <w:contextualSpacing/>
              <w:rPr>
                <w:rFonts w:asciiTheme="majorHAnsi" w:eastAsiaTheme="minorHAnsi" w:hAnsiTheme="majorHAnsi" w:cstheme="minorBidi"/>
                <w:lang w:val="id-ID"/>
              </w:rPr>
            </w:pPr>
            <w:r w:rsidRPr="004F1525">
              <w:rPr>
                <w:rFonts w:asciiTheme="majorHAnsi" w:eastAsiaTheme="minorHAnsi" w:hAnsiTheme="majorHAnsi" w:cstheme="minorBidi"/>
                <w:lang w:val="id-ID"/>
              </w:rPr>
              <w:t xml:space="preserve">The TWG had initially identified two PD ISSAIs (5411 &amp; 5440) for withdrawal based on the mapping done on the existing eight ISSAIs.  </w:t>
            </w:r>
          </w:p>
          <w:p w14:paraId="748C9B2B" w14:textId="77777777" w:rsidR="00DA3D17" w:rsidRPr="00DA3D17" w:rsidRDefault="00DA3D17" w:rsidP="004F1525">
            <w:pPr>
              <w:spacing w:before="120" w:line="240" w:lineRule="auto"/>
              <w:rPr>
                <w:rFonts w:asciiTheme="majorHAnsi" w:eastAsiaTheme="minorHAnsi" w:hAnsiTheme="majorHAnsi" w:cstheme="minorBidi"/>
                <w:i/>
                <w:sz w:val="16"/>
                <w:szCs w:val="16"/>
                <w:u w:val="single"/>
                <w:lang w:val="en-PH"/>
              </w:rPr>
            </w:pPr>
          </w:p>
          <w:p w14:paraId="6C1694CF" w14:textId="77777777" w:rsidR="004F1525" w:rsidRPr="004F1525" w:rsidRDefault="004F1525" w:rsidP="00DA3D17">
            <w:pPr>
              <w:spacing w:after="120" w:line="240" w:lineRule="auto"/>
              <w:rPr>
                <w:rFonts w:asciiTheme="majorHAnsi" w:hAnsiTheme="majorHAnsi"/>
                <w:lang w:val="id-ID"/>
              </w:rPr>
            </w:pPr>
            <w:r w:rsidRPr="004F1525">
              <w:rPr>
                <w:rFonts w:asciiTheme="majorHAnsi" w:eastAsiaTheme="minorHAnsi" w:hAnsiTheme="majorHAnsi" w:cstheme="minorBidi"/>
                <w:i/>
                <w:sz w:val="22"/>
                <w:szCs w:val="22"/>
                <w:u w:val="single"/>
                <w:lang w:val="en-PH"/>
              </w:rPr>
              <w:t>Action items / key next items</w:t>
            </w:r>
          </w:p>
          <w:p w14:paraId="521ED61C" w14:textId="279CF992" w:rsidR="004F1525" w:rsidRPr="0042462E" w:rsidRDefault="0042462E" w:rsidP="0015163A">
            <w:pPr>
              <w:numPr>
                <w:ilvl w:val="0"/>
                <w:numId w:val="47"/>
              </w:numPr>
              <w:spacing w:before="120" w:after="200" w:line="240" w:lineRule="auto"/>
              <w:ind w:left="383"/>
              <w:contextualSpacing/>
              <w:rPr>
                <w:rFonts w:asciiTheme="majorHAnsi" w:hAnsiTheme="majorHAnsi"/>
                <w:i/>
                <w:u w:val="single"/>
                <w:lang w:val="en-PH"/>
              </w:rPr>
            </w:pPr>
            <w:r w:rsidRPr="00D903BB">
              <w:rPr>
                <w:color w:val="FF0000"/>
              </w:rPr>
              <w:t>Apart from the above status of Project 2.9, the WGPD is also looking into formalizing the withdrawal of the two ISSAIs on Public Debt (</w:t>
            </w:r>
            <w:r>
              <w:rPr>
                <w:color w:val="FF0000"/>
              </w:rPr>
              <w:t xml:space="preserve">ISSAIs </w:t>
            </w:r>
            <w:r w:rsidRPr="00D903BB">
              <w:rPr>
                <w:color w:val="FF0000"/>
              </w:rPr>
              <w:t>5410 and 5440), which had been substantially covered in the GUID 5250; as well as resolving issues on the proper timing for the formal withdrawal of the other five ISSAIs on Public Debt (5411, 5420, 5421, 5422, and 5430),  considering the proposals to develop subject-specific non-IFPP material/s out of these five remaining ISSAIs on Public Debt, which were not detailed in GUID</w:t>
            </w:r>
            <w:r>
              <w:rPr>
                <w:color w:val="FF0000"/>
              </w:rPr>
              <w:t>s</w:t>
            </w:r>
            <w:r w:rsidRPr="00D903BB">
              <w:rPr>
                <w:color w:val="FF0000"/>
              </w:rPr>
              <w:t xml:space="preserve"> 5250 and 5259, but have been determined to be useful guidance to public debt auditors.</w:t>
            </w:r>
          </w:p>
          <w:p w14:paraId="3D6F5773" w14:textId="4E846EBA" w:rsidR="0042462E" w:rsidRDefault="0042462E" w:rsidP="0042462E">
            <w:pPr>
              <w:numPr>
                <w:ilvl w:val="0"/>
                <w:numId w:val="47"/>
              </w:numPr>
              <w:spacing w:before="120" w:after="200" w:line="240" w:lineRule="auto"/>
              <w:ind w:left="383"/>
              <w:contextualSpacing/>
              <w:rPr>
                <w:rFonts w:asciiTheme="majorHAnsi" w:hAnsiTheme="majorHAnsi"/>
                <w:lang w:val="en-PH"/>
              </w:rPr>
            </w:pPr>
            <w:r w:rsidRPr="0042462E">
              <w:rPr>
                <w:rFonts w:asciiTheme="majorHAnsi" w:hAnsiTheme="majorHAnsi"/>
                <w:lang w:val="en-PH"/>
              </w:rPr>
              <w:lastRenderedPageBreak/>
              <w:t xml:space="preserve">Follow up on the withdrawal procedure of </w:t>
            </w:r>
            <w:r w:rsidR="00141E4B">
              <w:rPr>
                <w:rFonts w:asciiTheme="majorHAnsi" w:hAnsiTheme="majorHAnsi"/>
                <w:lang w:val="en-PH"/>
              </w:rPr>
              <w:t>the seven</w:t>
            </w:r>
            <w:r w:rsidRPr="0042462E">
              <w:rPr>
                <w:rFonts w:asciiTheme="majorHAnsi" w:hAnsiTheme="majorHAnsi"/>
                <w:lang w:val="en-PH"/>
              </w:rPr>
              <w:t xml:space="preserve"> Public Debt ISSAIs from IFPP.</w:t>
            </w:r>
            <w:r w:rsidR="00141E4B">
              <w:rPr>
                <w:rFonts w:asciiTheme="majorHAnsi" w:hAnsiTheme="majorHAnsi"/>
                <w:lang w:val="en-PH"/>
              </w:rPr>
              <w:t xml:space="preserve"> </w:t>
            </w:r>
            <w:r w:rsidR="00141E4B">
              <w:rPr>
                <w:rFonts w:asciiTheme="majorHAnsi" w:hAnsiTheme="majorHAnsi"/>
                <w:i/>
                <w:lang w:val="en-PH"/>
              </w:rPr>
              <w:t>(See note below)</w:t>
            </w:r>
          </w:p>
          <w:p w14:paraId="2E5D0219" w14:textId="77777777" w:rsidR="00141E4B" w:rsidRPr="0042462E" w:rsidRDefault="00141E4B" w:rsidP="00141E4B">
            <w:pPr>
              <w:spacing w:before="120" w:after="200" w:line="240" w:lineRule="auto"/>
              <w:ind w:left="383"/>
              <w:contextualSpacing/>
              <w:rPr>
                <w:rFonts w:asciiTheme="majorHAnsi" w:hAnsiTheme="majorHAnsi"/>
                <w:lang w:val="en-PH"/>
              </w:rPr>
            </w:pPr>
          </w:p>
          <w:p w14:paraId="4C1F259D" w14:textId="090B486B" w:rsidR="0042462E" w:rsidRPr="0042462E" w:rsidRDefault="0042462E" w:rsidP="0042462E">
            <w:pPr>
              <w:numPr>
                <w:ilvl w:val="0"/>
                <w:numId w:val="47"/>
              </w:numPr>
              <w:spacing w:before="120" w:after="200" w:line="240" w:lineRule="auto"/>
              <w:ind w:left="383"/>
              <w:contextualSpacing/>
              <w:rPr>
                <w:rFonts w:asciiTheme="majorHAnsi" w:hAnsiTheme="majorHAnsi"/>
                <w:lang w:val="en-PH"/>
              </w:rPr>
            </w:pPr>
            <w:r w:rsidRPr="0042462E">
              <w:rPr>
                <w:rFonts w:asciiTheme="majorHAnsi" w:hAnsiTheme="majorHAnsi"/>
                <w:lang w:val="en-PH"/>
              </w:rPr>
              <w:t>Follow up on the development of non-IFPP project proposals on public debt before year-end</w:t>
            </w:r>
            <w:r>
              <w:rPr>
                <w:rFonts w:asciiTheme="majorHAnsi" w:hAnsiTheme="majorHAnsi"/>
                <w:lang w:val="en-PH"/>
              </w:rPr>
              <w:t xml:space="preserve"> -</w:t>
            </w:r>
          </w:p>
          <w:p w14:paraId="435FE758" w14:textId="77777777" w:rsidR="00C2201B" w:rsidRPr="0042462E" w:rsidRDefault="00C2201B" w:rsidP="00C2201B">
            <w:pPr>
              <w:spacing w:before="120" w:after="120" w:line="240" w:lineRule="auto"/>
              <w:jc w:val="both"/>
              <w:rPr>
                <w:rFonts w:asciiTheme="majorHAnsi" w:hAnsiTheme="majorHAnsi"/>
                <w:sz w:val="6"/>
                <w:szCs w:val="6"/>
                <w:lang w:val="id-ID"/>
              </w:rPr>
            </w:pPr>
          </w:p>
          <w:p w14:paraId="546AFCDC" w14:textId="4B07A029" w:rsidR="0015163A" w:rsidRPr="00DA3D17" w:rsidRDefault="0015163A" w:rsidP="0042462E">
            <w:pPr>
              <w:spacing w:before="120" w:after="200" w:line="240" w:lineRule="auto"/>
              <w:ind w:left="397"/>
              <w:contextualSpacing/>
              <w:rPr>
                <w:rFonts w:asciiTheme="majorHAnsi" w:hAnsiTheme="majorHAnsi"/>
                <w:i/>
                <w:u w:val="single"/>
                <w:lang w:val="en-PH"/>
              </w:rPr>
            </w:pPr>
            <w:r w:rsidRPr="0015163A">
              <w:rPr>
                <w:rFonts w:asciiTheme="majorHAnsi" w:hAnsiTheme="majorHAnsi"/>
                <w:lang w:val="id-ID"/>
              </w:rPr>
              <w:t>Based on the survey results on the mapping of PD ISSAIs for withdrawal, the Secretariat shall coordinate with the project team</w:t>
            </w:r>
            <w:r w:rsidR="00581A25">
              <w:rPr>
                <w:rFonts w:asciiTheme="majorHAnsi" w:hAnsiTheme="majorHAnsi"/>
                <w:lang w:val="en-ID"/>
              </w:rPr>
              <w:t>/s concerned</w:t>
            </w:r>
            <w:r w:rsidRPr="0015163A">
              <w:rPr>
                <w:rFonts w:asciiTheme="majorHAnsi" w:hAnsiTheme="majorHAnsi"/>
                <w:lang w:val="id-ID"/>
              </w:rPr>
              <w:t xml:space="preserve"> to consider possibility of integrating some of the proposals of the WGPD members which may have a direct link to their project</w:t>
            </w:r>
            <w:r w:rsidR="00581A25">
              <w:rPr>
                <w:rFonts w:asciiTheme="majorHAnsi" w:hAnsiTheme="majorHAnsi"/>
                <w:lang w:val="en-ID"/>
              </w:rPr>
              <w:t>/s</w:t>
            </w:r>
            <w:r w:rsidRPr="0015163A">
              <w:rPr>
                <w:rFonts w:asciiTheme="majorHAnsi" w:hAnsiTheme="majorHAnsi"/>
                <w:lang w:val="id-ID"/>
              </w:rPr>
              <w:t>. Example is on the project on 'audit of guarantees'</w:t>
            </w:r>
            <w:r w:rsidR="00581A25">
              <w:rPr>
                <w:rFonts w:asciiTheme="majorHAnsi" w:hAnsiTheme="majorHAnsi"/>
                <w:lang w:val="en-ID"/>
              </w:rPr>
              <w:t xml:space="preserve"> in relation to ISSAI 5430 where the TWG sees a need for the two project teams to collaborate and ensure that no overlapping occurs</w:t>
            </w:r>
            <w:r w:rsidRPr="0015163A">
              <w:rPr>
                <w:rFonts w:asciiTheme="majorHAnsi" w:hAnsiTheme="majorHAnsi"/>
                <w:lang w:val="id-ID"/>
              </w:rPr>
              <w:t>.</w:t>
            </w:r>
          </w:p>
          <w:p w14:paraId="625D075B" w14:textId="77777777" w:rsidR="00DA3D17" w:rsidRPr="00DA3D17" w:rsidRDefault="00DA3D17" w:rsidP="00DA3D17">
            <w:pPr>
              <w:spacing w:before="120" w:after="200" w:line="240" w:lineRule="auto"/>
              <w:contextualSpacing/>
              <w:rPr>
                <w:rFonts w:asciiTheme="majorHAnsi" w:hAnsiTheme="majorHAnsi"/>
                <w:i/>
                <w:sz w:val="12"/>
                <w:szCs w:val="12"/>
                <w:u w:val="single"/>
                <w:lang w:val="en-PH"/>
              </w:rPr>
            </w:pPr>
          </w:p>
          <w:p w14:paraId="19FFBA9F" w14:textId="0FBADDC3" w:rsidR="00DA3D17" w:rsidRPr="00DA3D17" w:rsidRDefault="00DA3D17" w:rsidP="00581A25">
            <w:pPr>
              <w:spacing w:before="120" w:after="120" w:line="240" w:lineRule="auto"/>
              <w:contextualSpacing/>
              <w:rPr>
                <w:rFonts w:asciiTheme="majorHAnsi" w:hAnsiTheme="majorHAnsi"/>
                <w:i/>
                <w:lang w:val="id-ID"/>
              </w:rPr>
            </w:pPr>
            <w:r w:rsidRPr="00DA3D17">
              <w:rPr>
                <w:rFonts w:asciiTheme="majorHAnsi" w:hAnsiTheme="majorHAnsi"/>
                <w:i/>
                <w:lang w:val="id-ID"/>
              </w:rPr>
              <w:t xml:space="preserve">Note: </w:t>
            </w:r>
            <w:r>
              <w:rPr>
                <w:rFonts w:asciiTheme="majorHAnsi" w:hAnsiTheme="majorHAnsi"/>
                <w:i/>
                <w:lang w:val="id-ID"/>
              </w:rPr>
              <w:t xml:space="preserve">The WGPD shall seek advise from the KSC/FIPP on the proper timing for the formal withdrawal of the remaining </w:t>
            </w:r>
            <w:r w:rsidR="00581A25">
              <w:rPr>
                <w:rFonts w:asciiTheme="majorHAnsi" w:hAnsiTheme="majorHAnsi"/>
                <w:i/>
                <w:lang w:val="en-ID"/>
              </w:rPr>
              <w:t>five</w:t>
            </w:r>
            <w:r>
              <w:rPr>
                <w:rFonts w:asciiTheme="majorHAnsi" w:hAnsiTheme="majorHAnsi"/>
                <w:i/>
                <w:lang w:val="id-ID"/>
              </w:rPr>
              <w:t xml:space="preserve"> ISSAIs, considering the proposals to develop non IFPP material/s for certain provisions/subjects in these ISSAIs deemed important and relevant for SAIs use.</w:t>
            </w:r>
          </w:p>
        </w:tc>
      </w:tr>
      <w:tr w:rsidR="00920693" w:rsidRPr="007326AB" w14:paraId="4AEC90D6" w14:textId="4CF6C15F" w:rsidTr="0083677A">
        <w:tblPrEx>
          <w:tblCellMar>
            <w:left w:w="108" w:type="dxa"/>
            <w:right w:w="108" w:type="dxa"/>
          </w:tblCellMar>
        </w:tblPrEx>
        <w:trPr>
          <w:trHeight w:val="1413"/>
        </w:trPr>
        <w:tc>
          <w:tcPr>
            <w:tcW w:w="1789" w:type="dxa"/>
          </w:tcPr>
          <w:p w14:paraId="6D10162A" w14:textId="3407E3D0" w:rsidR="00920693" w:rsidRPr="007326AB" w:rsidRDefault="00920693" w:rsidP="00D56D2D">
            <w:pPr>
              <w:rPr>
                <w:rFonts w:asciiTheme="majorHAnsi" w:hAnsiTheme="majorHAnsi"/>
              </w:rPr>
            </w:pPr>
          </w:p>
        </w:tc>
        <w:tc>
          <w:tcPr>
            <w:tcW w:w="4184" w:type="dxa"/>
          </w:tcPr>
          <w:p w14:paraId="1D2F2C64" w14:textId="16754072" w:rsidR="00920693" w:rsidRPr="00E62414" w:rsidRDefault="00920693" w:rsidP="007957F4">
            <w:pPr>
              <w:autoSpaceDE w:val="0"/>
              <w:autoSpaceDN w:val="0"/>
              <w:adjustRightInd w:val="0"/>
              <w:spacing w:before="120" w:line="240" w:lineRule="auto"/>
              <w:jc w:val="both"/>
              <w:rPr>
                <w:rFonts w:asciiTheme="majorHAnsi" w:hAnsiTheme="majorHAnsi"/>
              </w:rPr>
            </w:pPr>
            <w:r w:rsidRPr="00B64554">
              <w:rPr>
                <w:rFonts w:asciiTheme="majorHAnsi" w:hAnsiTheme="majorHAnsi"/>
              </w:rPr>
              <w:t>Revision of ISSAI products: Annual targets for updating and revising existing standards are established for the period 2017–2022. This work is done in close coll</w:t>
            </w:r>
            <w:r>
              <w:rPr>
                <w:rFonts w:asciiTheme="majorHAnsi" w:hAnsiTheme="majorHAnsi"/>
              </w:rPr>
              <w:t>aboration with the PSC and FIPP.</w:t>
            </w:r>
          </w:p>
        </w:tc>
        <w:tc>
          <w:tcPr>
            <w:tcW w:w="3101" w:type="dxa"/>
          </w:tcPr>
          <w:p w14:paraId="35C6B7CB" w14:textId="43F27A0F" w:rsidR="00920693" w:rsidRPr="007957F4" w:rsidRDefault="00920693" w:rsidP="007957F4">
            <w:pPr>
              <w:pStyle w:val="ListParagraph"/>
              <w:numPr>
                <w:ilvl w:val="0"/>
                <w:numId w:val="26"/>
              </w:numPr>
              <w:spacing w:before="120"/>
              <w:ind w:left="252" w:hanging="252"/>
              <w:rPr>
                <w:rFonts w:asciiTheme="majorHAnsi" w:hAnsiTheme="majorHAnsi"/>
              </w:rPr>
            </w:pPr>
            <w:r w:rsidRPr="006716A7">
              <w:rPr>
                <w:rFonts w:asciiTheme="majorHAnsi" w:hAnsiTheme="majorHAnsi"/>
                <w:color w:val="FF0000"/>
                <w:highlight w:val="cyan"/>
              </w:rPr>
              <w:t>Co-opting of WGPD with KSC task team on Project 2.5 (Internal Control)</w:t>
            </w:r>
          </w:p>
        </w:tc>
        <w:tc>
          <w:tcPr>
            <w:tcW w:w="4577" w:type="dxa"/>
          </w:tcPr>
          <w:p w14:paraId="7C99A641" w14:textId="77777777" w:rsidR="00920693" w:rsidRPr="006F30DC" w:rsidRDefault="00920693" w:rsidP="007957F4">
            <w:pPr>
              <w:spacing w:before="120" w:line="240" w:lineRule="auto"/>
              <w:jc w:val="both"/>
              <w:rPr>
                <w:rFonts w:asciiTheme="majorHAnsi" w:hAnsiTheme="majorHAnsi"/>
                <w:i/>
                <w:u w:val="single"/>
                <w:lang w:val="en-PH"/>
              </w:rPr>
            </w:pPr>
            <w:r w:rsidRPr="006F30DC">
              <w:rPr>
                <w:rFonts w:asciiTheme="majorHAnsi" w:hAnsiTheme="majorHAnsi"/>
                <w:i/>
                <w:u w:val="single"/>
                <w:lang w:val="en-PH"/>
              </w:rPr>
              <w:t>Progress to date</w:t>
            </w:r>
          </w:p>
          <w:p w14:paraId="2D8C0287" w14:textId="77777777" w:rsidR="00920693" w:rsidRDefault="00920693" w:rsidP="00322A66">
            <w:pPr>
              <w:spacing w:before="120" w:line="240" w:lineRule="auto"/>
              <w:rPr>
                <w:rFonts w:asciiTheme="majorHAnsi" w:hAnsiTheme="majorHAnsi"/>
                <w:lang w:val="en-PH"/>
              </w:rPr>
            </w:pPr>
            <w:r>
              <w:rPr>
                <w:rFonts w:asciiTheme="majorHAnsi" w:hAnsiTheme="majorHAnsi"/>
                <w:lang w:val="en-PH"/>
              </w:rPr>
              <w:t xml:space="preserve">Two WGPD members (USA and Philippines) signified interest in joining this project. </w:t>
            </w:r>
          </w:p>
          <w:p w14:paraId="1B442542" w14:textId="77777777" w:rsidR="00322A66" w:rsidRPr="00025FA0" w:rsidRDefault="00322A66" w:rsidP="00322A66">
            <w:pPr>
              <w:spacing w:line="240" w:lineRule="auto"/>
              <w:rPr>
                <w:rFonts w:asciiTheme="majorHAnsi" w:hAnsiTheme="majorHAnsi"/>
                <w:lang w:val="en-PH"/>
              </w:rPr>
            </w:pPr>
          </w:p>
          <w:p w14:paraId="6F49B2B5" w14:textId="77777777" w:rsidR="00920693" w:rsidRPr="006F30DC" w:rsidRDefault="00920693" w:rsidP="00322A66">
            <w:pPr>
              <w:spacing w:line="240" w:lineRule="auto"/>
              <w:rPr>
                <w:rFonts w:asciiTheme="majorHAnsi" w:hAnsiTheme="majorHAnsi"/>
                <w:i/>
                <w:u w:val="single"/>
                <w:lang w:val="en-PH"/>
              </w:rPr>
            </w:pPr>
            <w:r>
              <w:rPr>
                <w:rFonts w:asciiTheme="majorHAnsi" w:hAnsiTheme="majorHAnsi"/>
                <w:i/>
                <w:u w:val="single"/>
                <w:lang w:val="en-PH"/>
              </w:rPr>
              <w:t>Action items / key next items</w:t>
            </w:r>
          </w:p>
          <w:p w14:paraId="4F5354E4" w14:textId="7959B666" w:rsidR="00920693" w:rsidRPr="007326AB" w:rsidRDefault="00920693" w:rsidP="00C2201B">
            <w:pPr>
              <w:spacing w:before="120" w:after="240"/>
              <w:rPr>
                <w:rFonts w:asciiTheme="majorHAnsi" w:hAnsiTheme="majorHAnsi"/>
              </w:rPr>
            </w:pPr>
            <w:r>
              <w:rPr>
                <w:rFonts w:asciiTheme="majorHAnsi" w:hAnsiTheme="majorHAnsi"/>
                <w:lang w:val="en-PH"/>
              </w:rPr>
              <w:t>WGPD shall await further information from KSC/WGITA regarding this project.</w:t>
            </w:r>
          </w:p>
        </w:tc>
      </w:tr>
      <w:tr w:rsidR="00920693" w:rsidRPr="007326AB" w14:paraId="35208B45" w14:textId="144FDFC6" w:rsidTr="00581A25">
        <w:trPr>
          <w:trHeight w:val="926"/>
        </w:trPr>
        <w:tc>
          <w:tcPr>
            <w:tcW w:w="1789" w:type="dxa"/>
            <w:vMerge w:val="restart"/>
          </w:tcPr>
          <w:p w14:paraId="1ADEC12A" w14:textId="77777777" w:rsidR="00920693" w:rsidRPr="00B64554" w:rsidRDefault="00920693" w:rsidP="007957F4">
            <w:pPr>
              <w:autoSpaceDE w:val="0"/>
              <w:autoSpaceDN w:val="0"/>
              <w:adjustRightInd w:val="0"/>
              <w:spacing w:before="120" w:line="240" w:lineRule="auto"/>
              <w:rPr>
                <w:rFonts w:asciiTheme="majorHAnsi" w:hAnsiTheme="majorHAnsi"/>
              </w:rPr>
            </w:pPr>
            <w:r w:rsidRPr="00E62414">
              <w:rPr>
                <w:rFonts w:asciiTheme="majorHAnsi" w:hAnsiTheme="majorHAnsi"/>
              </w:rPr>
              <w:lastRenderedPageBreak/>
              <w:t>Enable wide exchange of knowledge and experience among INTOSAI members.</w:t>
            </w:r>
          </w:p>
          <w:p w14:paraId="6EA5380E" w14:textId="77777777" w:rsidR="00920693" w:rsidRPr="007326AB" w:rsidRDefault="00920693" w:rsidP="007957F4">
            <w:pPr>
              <w:spacing w:before="120"/>
              <w:rPr>
                <w:rFonts w:asciiTheme="majorHAnsi" w:hAnsiTheme="majorHAnsi"/>
              </w:rPr>
            </w:pPr>
          </w:p>
        </w:tc>
        <w:tc>
          <w:tcPr>
            <w:tcW w:w="4184" w:type="dxa"/>
            <w:vMerge w:val="restart"/>
            <w:shd w:val="clear" w:color="auto" w:fill="auto"/>
          </w:tcPr>
          <w:p w14:paraId="53645C15" w14:textId="168FA4FC" w:rsidR="00920693" w:rsidRPr="00E62414" w:rsidRDefault="00920693" w:rsidP="007957F4">
            <w:pPr>
              <w:autoSpaceDE w:val="0"/>
              <w:autoSpaceDN w:val="0"/>
              <w:adjustRightInd w:val="0"/>
              <w:spacing w:before="120" w:line="240" w:lineRule="auto"/>
              <w:rPr>
                <w:rFonts w:asciiTheme="majorHAnsi" w:hAnsiTheme="majorHAnsi"/>
              </w:rPr>
            </w:pPr>
            <w:r w:rsidRPr="003F1D52">
              <w:rPr>
                <w:rFonts w:asciiTheme="majorHAnsi" w:hAnsiTheme="majorHAnsi"/>
              </w:rPr>
              <w:t xml:space="preserve">INTOSAI KSC-IDI Community Portal: In close collaboration with IDI, a knowledge sharing platform to serve as the hub for knowledge sharing has been formed. </w:t>
            </w:r>
          </w:p>
        </w:tc>
        <w:tc>
          <w:tcPr>
            <w:tcW w:w="3101" w:type="dxa"/>
            <w:shd w:val="clear" w:color="auto" w:fill="auto"/>
          </w:tcPr>
          <w:p w14:paraId="4C2D7A27" w14:textId="629866B8" w:rsidR="00920693" w:rsidRPr="007326AB" w:rsidRDefault="00920693" w:rsidP="007957F4">
            <w:pPr>
              <w:spacing w:before="120"/>
              <w:rPr>
                <w:rFonts w:asciiTheme="majorHAnsi" w:hAnsiTheme="majorHAnsi"/>
              </w:rPr>
            </w:pPr>
            <w:r w:rsidRPr="00887C92">
              <w:rPr>
                <w:rFonts w:asciiTheme="majorHAnsi" w:hAnsiTheme="majorHAnsi"/>
                <w:shd w:val="clear" w:color="auto" w:fill="FFC000"/>
              </w:rPr>
              <w:t>Utilized the INTOSAI tools (Communities of Practice and other ICT-based mechanisms, such as webinar, videoconferences, etc.) in the conduct of seminars, fora, capacity-building programs and workshops.</w:t>
            </w:r>
          </w:p>
        </w:tc>
        <w:tc>
          <w:tcPr>
            <w:tcW w:w="4577" w:type="dxa"/>
            <w:shd w:val="clear" w:color="auto" w:fill="FFFFFF" w:themeFill="background1"/>
          </w:tcPr>
          <w:p w14:paraId="34BEB3FD" w14:textId="77777777" w:rsidR="00602965" w:rsidRDefault="00602965" w:rsidP="00602965">
            <w:pPr>
              <w:spacing w:line="240" w:lineRule="auto"/>
              <w:rPr>
                <w:rFonts w:asciiTheme="majorHAnsi" w:hAnsiTheme="majorHAnsi"/>
                <w:i/>
                <w:u w:val="single"/>
                <w:lang w:val="en-PH"/>
              </w:rPr>
            </w:pPr>
            <w:r w:rsidRPr="0011469C">
              <w:rPr>
                <w:rFonts w:asciiTheme="majorHAnsi" w:hAnsiTheme="majorHAnsi"/>
                <w:i/>
                <w:u w:val="single"/>
                <w:lang w:val="en-PH"/>
              </w:rPr>
              <w:t>Progress to date</w:t>
            </w:r>
          </w:p>
          <w:p w14:paraId="130BC548" w14:textId="77777777" w:rsidR="00602965" w:rsidRPr="00C2201B" w:rsidRDefault="00602965" w:rsidP="00602965">
            <w:pPr>
              <w:spacing w:line="240" w:lineRule="auto"/>
              <w:rPr>
                <w:rFonts w:asciiTheme="majorHAnsi" w:hAnsiTheme="majorHAnsi"/>
                <w:i/>
                <w:sz w:val="12"/>
                <w:szCs w:val="12"/>
                <w:u w:val="single"/>
                <w:lang w:val="en-PH"/>
              </w:rPr>
            </w:pPr>
          </w:p>
          <w:p w14:paraId="43FA4F1C" w14:textId="77777777" w:rsidR="003D4F33" w:rsidRDefault="00602965" w:rsidP="003D4F33">
            <w:pPr>
              <w:pStyle w:val="ListParagraph"/>
              <w:numPr>
                <w:ilvl w:val="0"/>
                <w:numId w:val="59"/>
              </w:numPr>
              <w:spacing w:line="240" w:lineRule="auto"/>
              <w:ind w:left="360"/>
              <w:jc w:val="both"/>
              <w:rPr>
                <w:rFonts w:asciiTheme="majorHAnsi" w:hAnsiTheme="majorHAnsi"/>
              </w:rPr>
            </w:pPr>
            <w:r w:rsidRPr="003D4F33">
              <w:rPr>
                <w:rFonts w:asciiTheme="majorHAnsi" w:hAnsiTheme="majorHAnsi"/>
              </w:rPr>
              <w:t xml:space="preserve">The WGPD Secretariat coordinated with SAI Philippines’ IT </w:t>
            </w:r>
            <w:r w:rsidR="00581A25" w:rsidRPr="003D4F33">
              <w:rPr>
                <w:rFonts w:asciiTheme="majorHAnsi" w:hAnsiTheme="majorHAnsi"/>
              </w:rPr>
              <w:t>office</w:t>
            </w:r>
            <w:r w:rsidRPr="003D4F33">
              <w:rPr>
                <w:rFonts w:asciiTheme="majorHAnsi" w:hAnsiTheme="majorHAnsi"/>
              </w:rPr>
              <w:t xml:space="preserve"> for updating of the contents of the WGPD page in the INTOSAI Community Portal.</w:t>
            </w:r>
            <w:r w:rsidR="003D4F33" w:rsidRPr="003D4F33">
              <w:rPr>
                <w:rFonts w:asciiTheme="majorHAnsi" w:hAnsiTheme="majorHAnsi"/>
              </w:rPr>
              <w:t xml:space="preserve"> </w:t>
            </w:r>
          </w:p>
          <w:p w14:paraId="459C22DD" w14:textId="50A70C7E" w:rsidR="00602965" w:rsidRDefault="003D4F33" w:rsidP="003D4F33">
            <w:pPr>
              <w:pStyle w:val="ListParagraph"/>
              <w:numPr>
                <w:ilvl w:val="0"/>
                <w:numId w:val="59"/>
              </w:numPr>
              <w:spacing w:line="240" w:lineRule="auto"/>
              <w:ind w:left="360"/>
              <w:jc w:val="both"/>
              <w:rPr>
                <w:rFonts w:asciiTheme="majorHAnsi" w:hAnsiTheme="majorHAnsi"/>
              </w:rPr>
            </w:pPr>
            <w:r w:rsidRPr="003D4F33">
              <w:rPr>
                <w:rFonts w:asciiTheme="majorHAnsi" w:hAnsiTheme="majorHAnsi"/>
              </w:rPr>
              <w:t>Problems encountered in the WGPD request to include a ‘Discussion Forum’ section in the WGPD COP being managed by SAI India.</w:t>
            </w:r>
          </w:p>
          <w:p w14:paraId="33970F85" w14:textId="59D7CB86" w:rsidR="003D4F33" w:rsidRPr="003D4F33" w:rsidRDefault="003D4F33" w:rsidP="003D4F33">
            <w:pPr>
              <w:pStyle w:val="ListParagraph"/>
              <w:numPr>
                <w:ilvl w:val="0"/>
                <w:numId w:val="59"/>
              </w:numPr>
              <w:spacing w:line="240" w:lineRule="auto"/>
              <w:ind w:left="360"/>
              <w:jc w:val="both"/>
              <w:rPr>
                <w:rFonts w:asciiTheme="majorHAnsi" w:hAnsiTheme="majorHAnsi"/>
              </w:rPr>
            </w:pPr>
            <w:r>
              <w:rPr>
                <w:rFonts w:asciiTheme="majorHAnsi" w:hAnsiTheme="majorHAnsi"/>
              </w:rPr>
              <w:t xml:space="preserve">The WGPD virtual meeting using ‘Team Microsoft’ </w:t>
            </w:r>
            <w:r w:rsidR="00141E4B">
              <w:rPr>
                <w:rFonts w:asciiTheme="majorHAnsi" w:hAnsiTheme="majorHAnsi"/>
              </w:rPr>
              <w:t>was</w:t>
            </w:r>
            <w:r>
              <w:rPr>
                <w:rFonts w:asciiTheme="majorHAnsi" w:hAnsiTheme="majorHAnsi"/>
              </w:rPr>
              <w:t xml:space="preserve"> held on 26-27 August 2020; regular zoom meetings with project group and the IDI.</w:t>
            </w:r>
            <w:r w:rsidR="00141E4B">
              <w:rPr>
                <w:rFonts w:asciiTheme="majorHAnsi" w:hAnsiTheme="majorHAnsi"/>
              </w:rPr>
              <w:t xml:space="preserve"> </w:t>
            </w:r>
            <w:r w:rsidR="00141E4B">
              <w:rPr>
                <w:rFonts w:asciiTheme="majorHAnsi" w:hAnsiTheme="majorHAnsi"/>
                <w:color w:val="FF0000"/>
              </w:rPr>
              <w:t>WGPD, in their first ever virtual meeting, exchanged experiences and practices among SAIs through country paper presentations on the themes ‘Implementation of SDGs: Exploring the Role of Public Debt Auditors in Light of COVID-19’; and ‘</w:t>
            </w:r>
            <w:r w:rsidR="00141E4B" w:rsidRPr="00156A7D">
              <w:rPr>
                <w:rFonts w:asciiTheme="majorHAnsi" w:hAnsiTheme="majorHAnsi"/>
                <w:color w:val="FF0000"/>
                <w:lang w:val="en-PH" w:eastAsia="en-PH"/>
              </w:rPr>
              <w:t>Challenges and Opportunities for Public Debt Auditors in the context of SDGs and beyond COVID-19</w:t>
            </w:r>
            <w:r w:rsidR="00141E4B">
              <w:rPr>
                <w:rFonts w:asciiTheme="majorHAnsi" w:hAnsiTheme="majorHAnsi"/>
                <w:color w:val="FF0000"/>
                <w:lang w:val="en-PH" w:eastAsia="en-PH"/>
              </w:rPr>
              <w:t>’</w:t>
            </w:r>
          </w:p>
          <w:p w14:paraId="11F24B9C" w14:textId="77777777" w:rsidR="00602965" w:rsidRPr="0011469C" w:rsidRDefault="00602965" w:rsidP="00602965">
            <w:pPr>
              <w:spacing w:line="240" w:lineRule="auto"/>
              <w:jc w:val="both"/>
              <w:rPr>
                <w:rFonts w:asciiTheme="majorHAnsi" w:hAnsiTheme="majorHAnsi"/>
              </w:rPr>
            </w:pPr>
          </w:p>
          <w:p w14:paraId="174B528D" w14:textId="77777777" w:rsidR="00602965" w:rsidRDefault="00602965" w:rsidP="00602965">
            <w:pPr>
              <w:spacing w:line="240" w:lineRule="auto"/>
              <w:rPr>
                <w:rFonts w:asciiTheme="majorHAnsi" w:hAnsiTheme="majorHAnsi"/>
                <w:i/>
                <w:u w:val="single"/>
                <w:lang w:val="en-PH"/>
              </w:rPr>
            </w:pPr>
            <w:r w:rsidRPr="0011469C">
              <w:rPr>
                <w:rFonts w:asciiTheme="majorHAnsi" w:hAnsiTheme="majorHAnsi"/>
                <w:i/>
                <w:u w:val="single"/>
                <w:lang w:val="en-PH"/>
              </w:rPr>
              <w:t>Action items / key next items</w:t>
            </w:r>
          </w:p>
          <w:p w14:paraId="09D46B2E" w14:textId="3F860EBE" w:rsidR="00920693" w:rsidRPr="007326AB" w:rsidRDefault="00602965" w:rsidP="003D4F33">
            <w:pPr>
              <w:spacing w:before="120" w:after="120" w:line="240" w:lineRule="auto"/>
              <w:jc w:val="both"/>
              <w:rPr>
                <w:rFonts w:asciiTheme="majorHAnsi" w:hAnsiTheme="majorHAnsi"/>
              </w:rPr>
            </w:pPr>
            <w:r>
              <w:rPr>
                <w:rFonts w:asciiTheme="majorHAnsi" w:hAnsiTheme="majorHAnsi"/>
              </w:rPr>
              <w:t>Continued coordination with the KSC for the maintenance of the WGPD page in the INTOSAI Community Portal</w:t>
            </w:r>
            <w:r w:rsidR="003D4F33">
              <w:rPr>
                <w:rFonts w:asciiTheme="majorHAnsi" w:hAnsiTheme="majorHAnsi"/>
              </w:rPr>
              <w:t>; and with the WGPD members and stakeholders using ICT tools.</w:t>
            </w:r>
          </w:p>
        </w:tc>
      </w:tr>
      <w:tr w:rsidR="00920693" w:rsidRPr="007326AB" w14:paraId="527CDE4F" w14:textId="0F3BDE39" w:rsidTr="00F852C2">
        <w:trPr>
          <w:trHeight w:val="1143"/>
        </w:trPr>
        <w:tc>
          <w:tcPr>
            <w:tcW w:w="1789" w:type="dxa"/>
            <w:vMerge/>
            <w:vAlign w:val="center"/>
          </w:tcPr>
          <w:p w14:paraId="1B08A1E2" w14:textId="5A27E3AE" w:rsidR="00920693" w:rsidRPr="00E62414" w:rsidRDefault="00920693" w:rsidP="00E62414">
            <w:pPr>
              <w:autoSpaceDE w:val="0"/>
              <w:autoSpaceDN w:val="0"/>
              <w:adjustRightInd w:val="0"/>
              <w:spacing w:line="240" w:lineRule="auto"/>
              <w:jc w:val="both"/>
              <w:rPr>
                <w:rFonts w:asciiTheme="majorHAnsi" w:hAnsiTheme="majorHAnsi"/>
              </w:rPr>
            </w:pPr>
          </w:p>
        </w:tc>
        <w:tc>
          <w:tcPr>
            <w:tcW w:w="4184" w:type="dxa"/>
            <w:vMerge/>
            <w:shd w:val="clear" w:color="auto" w:fill="auto"/>
            <w:vAlign w:val="center"/>
          </w:tcPr>
          <w:p w14:paraId="21552F3B" w14:textId="77777777" w:rsidR="00920693" w:rsidRPr="003F1D52" w:rsidRDefault="00920693" w:rsidP="00E62414">
            <w:pPr>
              <w:autoSpaceDE w:val="0"/>
              <w:autoSpaceDN w:val="0"/>
              <w:adjustRightInd w:val="0"/>
              <w:spacing w:line="240" w:lineRule="auto"/>
              <w:jc w:val="both"/>
              <w:rPr>
                <w:rFonts w:asciiTheme="majorHAnsi" w:hAnsiTheme="majorHAnsi"/>
              </w:rPr>
            </w:pPr>
          </w:p>
        </w:tc>
        <w:tc>
          <w:tcPr>
            <w:tcW w:w="3101" w:type="dxa"/>
            <w:shd w:val="clear" w:color="auto" w:fill="auto"/>
          </w:tcPr>
          <w:p w14:paraId="41AE7D7B" w14:textId="1B6960BB" w:rsidR="00920693" w:rsidRPr="008831D5" w:rsidRDefault="00920693" w:rsidP="00F852C2">
            <w:pPr>
              <w:spacing w:before="120"/>
              <w:rPr>
                <w:rFonts w:asciiTheme="majorHAnsi" w:hAnsiTheme="majorHAnsi"/>
                <w:lang w:val="en-PH"/>
              </w:rPr>
            </w:pPr>
            <w:r w:rsidRPr="00880CD2">
              <w:rPr>
                <w:rFonts w:asciiTheme="majorHAnsi" w:hAnsiTheme="majorHAnsi"/>
                <w:shd w:val="clear" w:color="auto" w:fill="92D050"/>
                <w:lang w:val="id-ID"/>
              </w:rPr>
              <w:t>No. of products published in all INTOSAI's official languages (i.e. WG’s website, INTOSAI Journal, INTOSAI website).</w:t>
            </w:r>
          </w:p>
        </w:tc>
        <w:tc>
          <w:tcPr>
            <w:tcW w:w="4577" w:type="dxa"/>
            <w:shd w:val="clear" w:color="auto" w:fill="FFFFFF" w:themeFill="background1"/>
          </w:tcPr>
          <w:p w14:paraId="371498DA" w14:textId="2C38B82A" w:rsidR="007215E1" w:rsidRDefault="007215E1" w:rsidP="007215E1">
            <w:pPr>
              <w:spacing w:before="120" w:line="240" w:lineRule="auto"/>
              <w:rPr>
                <w:rFonts w:asciiTheme="majorHAnsi" w:hAnsiTheme="majorHAnsi"/>
                <w:lang w:val="id-ID"/>
              </w:rPr>
            </w:pPr>
            <w:r w:rsidRPr="006F30DC">
              <w:rPr>
                <w:rFonts w:asciiTheme="majorHAnsi" w:hAnsiTheme="majorHAnsi"/>
                <w:i/>
                <w:u w:val="single"/>
                <w:lang w:val="en-PH"/>
              </w:rPr>
              <w:t>Progress to date</w:t>
            </w:r>
          </w:p>
          <w:p w14:paraId="5CDEE0E5" w14:textId="19683607" w:rsidR="00920693" w:rsidRDefault="006716A7" w:rsidP="00C2201B">
            <w:pPr>
              <w:spacing w:before="120" w:line="240" w:lineRule="auto"/>
              <w:jc w:val="both"/>
              <w:rPr>
                <w:rFonts w:asciiTheme="majorHAnsi" w:hAnsiTheme="majorHAnsi"/>
                <w:lang w:val="en-PH"/>
              </w:rPr>
            </w:pPr>
            <w:r w:rsidRPr="0084321D">
              <w:rPr>
                <w:rFonts w:asciiTheme="majorHAnsi" w:hAnsiTheme="majorHAnsi"/>
                <w:lang w:val="en-PH"/>
              </w:rPr>
              <w:t xml:space="preserve">Translated versions </w:t>
            </w:r>
            <w:r w:rsidR="00C2201B">
              <w:rPr>
                <w:rFonts w:asciiTheme="majorHAnsi" w:hAnsiTheme="majorHAnsi"/>
                <w:lang w:val="en-PH"/>
              </w:rPr>
              <w:t xml:space="preserve">of the GUID 5250 </w:t>
            </w:r>
            <w:r w:rsidRPr="0084321D">
              <w:rPr>
                <w:rFonts w:asciiTheme="majorHAnsi" w:hAnsiTheme="majorHAnsi"/>
                <w:lang w:val="en-PH"/>
              </w:rPr>
              <w:t>in</w:t>
            </w:r>
            <w:r w:rsidR="00581A25">
              <w:rPr>
                <w:rFonts w:asciiTheme="majorHAnsi" w:hAnsiTheme="majorHAnsi"/>
                <w:lang w:val="en-PH"/>
              </w:rPr>
              <w:t>to</w:t>
            </w:r>
            <w:r w:rsidRPr="0084321D">
              <w:rPr>
                <w:rFonts w:asciiTheme="majorHAnsi" w:hAnsiTheme="majorHAnsi"/>
                <w:lang w:val="en-PH"/>
              </w:rPr>
              <w:t xml:space="preserve"> five INTOSAI official languages received by the </w:t>
            </w:r>
            <w:r>
              <w:rPr>
                <w:rFonts w:asciiTheme="majorHAnsi" w:hAnsiTheme="majorHAnsi"/>
                <w:lang w:val="en-PH"/>
              </w:rPr>
              <w:t xml:space="preserve">WGPD </w:t>
            </w:r>
            <w:r w:rsidRPr="0084321D">
              <w:rPr>
                <w:rFonts w:asciiTheme="majorHAnsi" w:hAnsiTheme="majorHAnsi"/>
                <w:lang w:val="en-PH"/>
              </w:rPr>
              <w:t xml:space="preserve">Secretariat </w:t>
            </w:r>
            <w:r>
              <w:rPr>
                <w:rFonts w:asciiTheme="majorHAnsi" w:hAnsiTheme="majorHAnsi"/>
                <w:lang w:val="en-PH"/>
              </w:rPr>
              <w:t xml:space="preserve">as of </w:t>
            </w:r>
            <w:r w:rsidR="00800D85">
              <w:rPr>
                <w:rFonts w:asciiTheme="majorHAnsi" w:hAnsiTheme="majorHAnsi"/>
                <w:lang w:val="en-PH"/>
              </w:rPr>
              <w:t>0</w:t>
            </w:r>
            <w:r w:rsidRPr="0084321D">
              <w:rPr>
                <w:rFonts w:asciiTheme="majorHAnsi" w:hAnsiTheme="majorHAnsi"/>
                <w:lang w:val="en-PH"/>
              </w:rPr>
              <w:t>5 August 2020</w:t>
            </w:r>
            <w:r>
              <w:rPr>
                <w:rFonts w:asciiTheme="majorHAnsi" w:hAnsiTheme="majorHAnsi"/>
                <w:lang w:val="en-PH"/>
              </w:rPr>
              <w:t xml:space="preserve"> </w:t>
            </w:r>
            <w:r w:rsidR="00581A25">
              <w:rPr>
                <w:rFonts w:asciiTheme="majorHAnsi" w:hAnsiTheme="majorHAnsi"/>
                <w:lang w:val="en-PH"/>
              </w:rPr>
              <w:t xml:space="preserve">to be </w:t>
            </w:r>
            <w:r>
              <w:rPr>
                <w:rFonts w:asciiTheme="majorHAnsi" w:hAnsiTheme="majorHAnsi"/>
                <w:lang w:val="en-PH"/>
              </w:rPr>
              <w:t xml:space="preserve">submitted to the KSC on </w:t>
            </w:r>
            <w:r w:rsidR="00581A25">
              <w:rPr>
                <w:rFonts w:asciiTheme="majorHAnsi" w:hAnsiTheme="majorHAnsi"/>
                <w:lang w:val="en-PH"/>
              </w:rPr>
              <w:t>20</w:t>
            </w:r>
            <w:r>
              <w:rPr>
                <w:rFonts w:asciiTheme="majorHAnsi" w:hAnsiTheme="majorHAnsi"/>
                <w:lang w:val="en-PH"/>
              </w:rPr>
              <w:t xml:space="preserve"> August 2020 </w:t>
            </w:r>
            <w:r w:rsidR="00800D85">
              <w:rPr>
                <w:rFonts w:asciiTheme="majorHAnsi" w:hAnsiTheme="majorHAnsi"/>
                <w:lang w:val="en-PH"/>
              </w:rPr>
              <w:t>requesting</w:t>
            </w:r>
            <w:r>
              <w:rPr>
                <w:rFonts w:asciiTheme="majorHAnsi" w:hAnsiTheme="majorHAnsi"/>
                <w:lang w:val="en-PH"/>
              </w:rPr>
              <w:t xml:space="preserve"> </w:t>
            </w:r>
            <w:r w:rsidR="00581A25">
              <w:rPr>
                <w:rFonts w:asciiTheme="majorHAnsi" w:hAnsiTheme="majorHAnsi"/>
                <w:lang w:val="en-PH"/>
              </w:rPr>
              <w:t xml:space="preserve">endorsement to the INTOSAI Governing Board for final pronouncement in November 2020. </w:t>
            </w:r>
          </w:p>
          <w:p w14:paraId="525CFD27" w14:textId="77777777" w:rsidR="00C2201B" w:rsidRDefault="00C2201B" w:rsidP="00C2201B">
            <w:pPr>
              <w:spacing w:before="240" w:after="120" w:line="240" w:lineRule="auto"/>
              <w:jc w:val="both"/>
              <w:rPr>
                <w:rFonts w:asciiTheme="majorHAnsi" w:hAnsiTheme="majorHAnsi"/>
                <w:i/>
                <w:u w:val="single"/>
              </w:rPr>
            </w:pPr>
            <w:r w:rsidRPr="00800D85">
              <w:rPr>
                <w:rFonts w:asciiTheme="majorHAnsi" w:hAnsiTheme="majorHAnsi"/>
                <w:i/>
                <w:u w:val="single"/>
              </w:rPr>
              <w:lastRenderedPageBreak/>
              <w:t>Action items / key next items</w:t>
            </w:r>
          </w:p>
          <w:p w14:paraId="3EAB738E" w14:textId="3A8B8C97" w:rsidR="00C2201B" w:rsidRPr="00C2201B" w:rsidRDefault="00C2201B" w:rsidP="00C2201B">
            <w:pPr>
              <w:spacing w:before="120" w:after="120" w:line="240" w:lineRule="auto"/>
              <w:jc w:val="both"/>
              <w:rPr>
                <w:rFonts w:asciiTheme="majorHAnsi" w:hAnsiTheme="majorHAnsi"/>
                <w:lang w:val="en-PH"/>
              </w:rPr>
            </w:pPr>
            <w:r>
              <w:rPr>
                <w:rFonts w:asciiTheme="majorHAnsi" w:hAnsiTheme="majorHAnsi"/>
              </w:rPr>
              <w:t>As soon as clearance is obtained from the KSC COP, the translated versions of the GUID 5250 shall be uploaded at the WGPD website; Uploading at the INTOSAI Journal and INTOSAI website shall be requested upon endorsement for final pronouncement at the INTOSAI GB meeting in November 2020.</w:t>
            </w:r>
          </w:p>
        </w:tc>
      </w:tr>
      <w:tr w:rsidR="00920693" w:rsidRPr="007326AB" w14:paraId="619F975E" w14:textId="65A43CB3" w:rsidTr="00F852C2">
        <w:trPr>
          <w:trHeight w:val="660"/>
        </w:trPr>
        <w:tc>
          <w:tcPr>
            <w:tcW w:w="1789" w:type="dxa"/>
            <w:vMerge/>
            <w:vAlign w:val="center"/>
          </w:tcPr>
          <w:p w14:paraId="3C8B9B73" w14:textId="4463C4DC" w:rsidR="00920693" w:rsidRPr="007326AB" w:rsidRDefault="00920693" w:rsidP="00E62414">
            <w:pPr>
              <w:rPr>
                <w:rFonts w:asciiTheme="majorHAnsi" w:eastAsia="Calibri" w:hAnsiTheme="majorHAnsi"/>
                <w:spacing w:val="-2"/>
              </w:rPr>
            </w:pPr>
          </w:p>
        </w:tc>
        <w:tc>
          <w:tcPr>
            <w:tcW w:w="4184" w:type="dxa"/>
            <w:shd w:val="clear" w:color="auto" w:fill="auto"/>
          </w:tcPr>
          <w:p w14:paraId="52D76C42" w14:textId="19BA8D6A" w:rsidR="00920693" w:rsidRPr="007326AB" w:rsidRDefault="00920693" w:rsidP="00F852C2">
            <w:pPr>
              <w:autoSpaceDE w:val="0"/>
              <w:autoSpaceDN w:val="0"/>
              <w:adjustRightInd w:val="0"/>
              <w:spacing w:before="120" w:line="240" w:lineRule="auto"/>
              <w:rPr>
                <w:rFonts w:asciiTheme="majorHAnsi" w:eastAsia="Calibri" w:hAnsiTheme="majorHAnsi"/>
                <w:spacing w:val="-2"/>
              </w:rPr>
            </w:pPr>
            <w:r w:rsidRPr="003F1D52">
              <w:rPr>
                <w:rFonts w:asciiTheme="majorHAnsi" w:hAnsiTheme="majorHAnsi"/>
              </w:rPr>
              <w:t>R</w:t>
            </w:r>
            <w:r w:rsidRPr="007326AB">
              <w:rPr>
                <w:rFonts w:asciiTheme="majorHAnsi" w:hAnsiTheme="majorHAnsi"/>
              </w:rPr>
              <w:t>e</w:t>
            </w:r>
            <w:r w:rsidRPr="003F1D52">
              <w:rPr>
                <w:rFonts w:asciiTheme="majorHAnsi" w:hAnsiTheme="majorHAnsi"/>
              </w:rPr>
              <w:t>search projects: The KSC leads the development of a scheme for encouraging internal (to INTOSAI) and external research projects in public audit. The KSC also facilitates INTOSAI’s engagement with the</w:t>
            </w:r>
            <w:r w:rsidRPr="003F1D52">
              <w:rPr>
                <w:rFonts w:asciiTheme="majorHAnsi" w:hAnsiTheme="majorHAnsi" w:cs="Minion Pro"/>
              </w:rPr>
              <w:t xml:space="preserve"> </w:t>
            </w:r>
            <w:r w:rsidRPr="003F1D52">
              <w:rPr>
                <w:rFonts w:asciiTheme="majorHAnsi" w:hAnsiTheme="majorHAnsi"/>
              </w:rPr>
              <w:t>academic community on issues of mutual interest and co</w:t>
            </w:r>
            <w:r w:rsidRPr="007326AB">
              <w:rPr>
                <w:rFonts w:asciiTheme="majorHAnsi" w:hAnsiTheme="majorHAnsi"/>
              </w:rPr>
              <w:t>ncern.</w:t>
            </w:r>
          </w:p>
        </w:tc>
        <w:tc>
          <w:tcPr>
            <w:tcW w:w="3101" w:type="dxa"/>
            <w:shd w:val="clear" w:color="auto" w:fill="auto"/>
          </w:tcPr>
          <w:p w14:paraId="2D6105E1" w14:textId="7A4FE2BD" w:rsidR="00920693" w:rsidRPr="007326AB" w:rsidRDefault="00920693" w:rsidP="00F852C2">
            <w:pPr>
              <w:spacing w:before="120"/>
              <w:rPr>
                <w:rFonts w:asciiTheme="majorHAnsi" w:hAnsiTheme="majorHAnsi"/>
              </w:rPr>
            </w:pPr>
            <w:r w:rsidRPr="0086304F">
              <w:rPr>
                <w:rFonts w:asciiTheme="majorHAnsi" w:hAnsiTheme="majorHAnsi" w:cs="Arial"/>
                <w:highlight w:val="cyan"/>
              </w:rPr>
              <w:t>No. of cooperative/joint audits, internship programs, staff exchange agreements, technical visits, trans-regional programs, and/or peer reviews on public debt auditing among the INTOSAI members promoted/engaged/</w:t>
            </w:r>
            <w:r w:rsidR="00800D85">
              <w:rPr>
                <w:rFonts w:asciiTheme="majorHAnsi" w:hAnsiTheme="majorHAnsi" w:cs="Arial"/>
                <w:highlight w:val="cyan"/>
              </w:rPr>
              <w:t xml:space="preserve"> </w:t>
            </w:r>
            <w:r w:rsidRPr="0086304F">
              <w:rPr>
                <w:rFonts w:asciiTheme="majorHAnsi" w:hAnsiTheme="majorHAnsi" w:cs="Arial"/>
                <w:highlight w:val="cyan"/>
              </w:rPr>
              <w:t>conducted.</w:t>
            </w:r>
          </w:p>
        </w:tc>
        <w:tc>
          <w:tcPr>
            <w:tcW w:w="4577" w:type="dxa"/>
            <w:shd w:val="clear" w:color="auto" w:fill="FFFFFF" w:themeFill="background1"/>
          </w:tcPr>
          <w:p w14:paraId="6A7BC22C" w14:textId="2437D85C" w:rsidR="00800D85" w:rsidRDefault="00800D85" w:rsidP="00800D85">
            <w:pPr>
              <w:spacing w:before="120" w:line="240" w:lineRule="auto"/>
              <w:rPr>
                <w:rFonts w:asciiTheme="majorHAnsi" w:hAnsiTheme="majorHAnsi"/>
                <w:i/>
                <w:u w:val="single"/>
                <w:lang w:val="en-PH"/>
              </w:rPr>
            </w:pPr>
            <w:r w:rsidRPr="006F30DC">
              <w:rPr>
                <w:rFonts w:asciiTheme="majorHAnsi" w:hAnsiTheme="majorHAnsi"/>
                <w:i/>
                <w:u w:val="single"/>
                <w:lang w:val="en-PH"/>
              </w:rPr>
              <w:t>Progress to date</w:t>
            </w:r>
          </w:p>
          <w:p w14:paraId="725C2399" w14:textId="221C9E6E" w:rsidR="00800D85" w:rsidRDefault="00800D85" w:rsidP="00F852C2">
            <w:pPr>
              <w:spacing w:before="120" w:line="240" w:lineRule="auto"/>
              <w:jc w:val="both"/>
              <w:rPr>
                <w:rFonts w:asciiTheme="majorHAnsi" w:hAnsiTheme="majorHAnsi"/>
              </w:rPr>
            </w:pPr>
            <w:r>
              <w:rPr>
                <w:rFonts w:asciiTheme="majorHAnsi" w:hAnsiTheme="majorHAnsi"/>
                <w:lang w:val="en-PH"/>
              </w:rPr>
              <w:t xml:space="preserve">The WGPD has conducted a survey on possible projects/activities that may be added to the WGPD </w:t>
            </w:r>
            <w:proofErr w:type="spellStart"/>
            <w:r>
              <w:rPr>
                <w:rFonts w:asciiTheme="majorHAnsi" w:hAnsiTheme="majorHAnsi"/>
                <w:lang w:val="en-PH"/>
              </w:rPr>
              <w:t>Workplan</w:t>
            </w:r>
            <w:proofErr w:type="spellEnd"/>
            <w:r>
              <w:rPr>
                <w:rFonts w:asciiTheme="majorHAnsi" w:hAnsiTheme="majorHAnsi"/>
                <w:lang w:val="en-PH"/>
              </w:rPr>
              <w:t xml:space="preserve"> 2020-2022</w:t>
            </w:r>
            <w:r w:rsidR="00F852C2">
              <w:rPr>
                <w:rFonts w:asciiTheme="majorHAnsi" w:hAnsiTheme="majorHAnsi"/>
                <w:lang w:val="en-PH"/>
              </w:rPr>
              <w:t xml:space="preserve"> in the light of the current pandemic and in relation to the meeting theme of the WGPD on 26-7 August 2020</w:t>
            </w:r>
            <w:r>
              <w:rPr>
                <w:rFonts w:asciiTheme="majorHAnsi" w:hAnsiTheme="majorHAnsi"/>
                <w:lang w:val="en-PH"/>
              </w:rPr>
              <w:t xml:space="preserve">.  Included in the responses from 15 member SAIs is the conduct of joint/co- audits </w:t>
            </w:r>
            <w:r w:rsidRPr="00800D85">
              <w:rPr>
                <w:rFonts w:asciiTheme="majorHAnsi" w:hAnsiTheme="majorHAnsi"/>
              </w:rPr>
              <w:t>in which several task force</w:t>
            </w:r>
            <w:r>
              <w:rPr>
                <w:rFonts w:asciiTheme="majorHAnsi" w:hAnsiTheme="majorHAnsi"/>
              </w:rPr>
              <w:t>s</w:t>
            </w:r>
            <w:r w:rsidRPr="00800D85">
              <w:rPr>
                <w:rFonts w:asciiTheme="majorHAnsi" w:hAnsiTheme="majorHAnsi"/>
              </w:rPr>
              <w:t xml:space="preserve"> from group of SAIs can choose a specific subject and make the audit, then they can share the results and conclusions together and present them as learned lessons in the future meetings</w:t>
            </w:r>
            <w:r>
              <w:rPr>
                <w:rFonts w:asciiTheme="majorHAnsi" w:hAnsiTheme="majorHAnsi"/>
              </w:rPr>
              <w:t xml:space="preserve"> </w:t>
            </w:r>
            <w:r w:rsidRPr="00800D85">
              <w:rPr>
                <w:rFonts w:asciiTheme="majorHAnsi" w:hAnsiTheme="majorHAnsi"/>
              </w:rPr>
              <w:t>(virtual or face-to-face) during the next two years</w:t>
            </w:r>
            <w:r>
              <w:rPr>
                <w:rFonts w:asciiTheme="majorHAnsi" w:hAnsiTheme="majorHAnsi"/>
              </w:rPr>
              <w:t xml:space="preserve"> </w:t>
            </w:r>
            <w:r w:rsidRPr="00800D85">
              <w:rPr>
                <w:rFonts w:asciiTheme="majorHAnsi" w:hAnsiTheme="majorHAnsi"/>
              </w:rPr>
              <w:t>(2021-2022).</w:t>
            </w:r>
          </w:p>
          <w:p w14:paraId="71047C45" w14:textId="6F770E95" w:rsidR="00800D85" w:rsidRPr="00800D85" w:rsidRDefault="00800D85" w:rsidP="00F852C2">
            <w:pPr>
              <w:spacing w:before="120" w:line="240" w:lineRule="auto"/>
              <w:jc w:val="both"/>
              <w:rPr>
                <w:rFonts w:asciiTheme="majorHAnsi" w:hAnsiTheme="majorHAnsi"/>
              </w:rPr>
            </w:pPr>
            <w:r>
              <w:rPr>
                <w:rFonts w:asciiTheme="majorHAnsi" w:hAnsiTheme="majorHAnsi"/>
              </w:rPr>
              <w:t>Based on the survey, the Secretariat</w:t>
            </w:r>
            <w:r w:rsidR="00F852C2">
              <w:rPr>
                <w:rFonts w:asciiTheme="majorHAnsi" w:hAnsiTheme="majorHAnsi"/>
              </w:rPr>
              <w:t xml:space="preserve"> came up with tentative list of proposed topics / subjects which may be a good source for joint audits.</w:t>
            </w:r>
          </w:p>
          <w:p w14:paraId="4F02EC02" w14:textId="3F48612A" w:rsidR="00800D85" w:rsidRPr="00800D85" w:rsidRDefault="00800D85" w:rsidP="00800D85">
            <w:pPr>
              <w:spacing w:before="180" w:after="120"/>
              <w:rPr>
                <w:rFonts w:asciiTheme="majorHAnsi" w:hAnsiTheme="majorHAnsi"/>
                <w:i/>
                <w:u w:val="single"/>
              </w:rPr>
            </w:pPr>
            <w:r w:rsidRPr="00800D85">
              <w:rPr>
                <w:rFonts w:asciiTheme="majorHAnsi" w:hAnsiTheme="majorHAnsi"/>
                <w:i/>
                <w:u w:val="single"/>
              </w:rPr>
              <w:t>Action items / key next items</w:t>
            </w:r>
          </w:p>
          <w:p w14:paraId="25881722" w14:textId="77777777" w:rsidR="00F852C2" w:rsidRDefault="00F852C2" w:rsidP="00F852C2">
            <w:pPr>
              <w:rPr>
                <w:rFonts w:asciiTheme="majorHAnsi" w:hAnsiTheme="majorHAnsi"/>
              </w:rPr>
            </w:pPr>
            <w:r>
              <w:rPr>
                <w:rFonts w:asciiTheme="majorHAnsi" w:hAnsiTheme="majorHAnsi"/>
              </w:rPr>
              <w:t xml:space="preserve">The Secretariat shall circulate the results of the survey to the WGPD members highlighting the initial analysis done by the TWG.  </w:t>
            </w:r>
          </w:p>
          <w:p w14:paraId="7675B413" w14:textId="77777777" w:rsidR="00F852C2" w:rsidRDefault="00F852C2" w:rsidP="00F852C2">
            <w:pPr>
              <w:pStyle w:val="ListParagraph"/>
              <w:numPr>
                <w:ilvl w:val="0"/>
                <w:numId w:val="57"/>
              </w:numPr>
              <w:ind w:left="360"/>
              <w:rPr>
                <w:rFonts w:asciiTheme="majorHAnsi" w:hAnsiTheme="majorHAnsi"/>
              </w:rPr>
            </w:pPr>
            <w:r w:rsidRPr="00F852C2">
              <w:rPr>
                <w:rFonts w:asciiTheme="majorHAnsi" w:hAnsiTheme="majorHAnsi"/>
              </w:rPr>
              <w:t>Conduct of j</w:t>
            </w:r>
            <w:r w:rsidR="00800D85" w:rsidRPr="00F852C2">
              <w:rPr>
                <w:rFonts w:asciiTheme="majorHAnsi" w:hAnsiTheme="majorHAnsi"/>
              </w:rPr>
              <w:t xml:space="preserve">oint audits </w:t>
            </w:r>
            <w:r w:rsidRPr="00F852C2">
              <w:rPr>
                <w:rFonts w:asciiTheme="majorHAnsi" w:hAnsiTheme="majorHAnsi"/>
              </w:rPr>
              <w:t>shall be proposed for prioritiz</w:t>
            </w:r>
            <w:bookmarkStart w:id="0" w:name="_GoBack"/>
            <w:bookmarkEnd w:id="0"/>
            <w:r w:rsidRPr="00F852C2">
              <w:rPr>
                <w:rFonts w:asciiTheme="majorHAnsi" w:hAnsiTheme="majorHAnsi"/>
              </w:rPr>
              <w:t xml:space="preserve">ation from among the activities listed in the summary. </w:t>
            </w:r>
          </w:p>
          <w:p w14:paraId="7E2B63C6" w14:textId="178BD27F" w:rsidR="00800D85" w:rsidRPr="00F852C2" w:rsidRDefault="00F852C2" w:rsidP="00F852C2">
            <w:pPr>
              <w:pStyle w:val="ListParagraph"/>
              <w:numPr>
                <w:ilvl w:val="0"/>
                <w:numId w:val="57"/>
              </w:numPr>
              <w:spacing w:after="120"/>
              <w:ind w:left="360"/>
              <w:rPr>
                <w:rFonts w:asciiTheme="majorHAnsi" w:hAnsiTheme="majorHAnsi"/>
              </w:rPr>
            </w:pPr>
            <w:r>
              <w:rPr>
                <w:rFonts w:asciiTheme="majorHAnsi" w:hAnsiTheme="majorHAnsi"/>
              </w:rPr>
              <w:lastRenderedPageBreak/>
              <w:t>R</w:t>
            </w:r>
            <w:r w:rsidR="00800D85" w:rsidRPr="00F852C2">
              <w:rPr>
                <w:rFonts w:asciiTheme="majorHAnsi" w:hAnsiTheme="majorHAnsi"/>
              </w:rPr>
              <w:t xml:space="preserve">esults </w:t>
            </w:r>
            <w:r>
              <w:rPr>
                <w:rFonts w:asciiTheme="majorHAnsi" w:hAnsiTheme="majorHAnsi"/>
              </w:rPr>
              <w:t xml:space="preserve">of the joint audits </w:t>
            </w:r>
            <w:r w:rsidR="00800D85" w:rsidRPr="00F852C2">
              <w:rPr>
                <w:rFonts w:asciiTheme="majorHAnsi" w:hAnsiTheme="majorHAnsi"/>
              </w:rPr>
              <w:t>may be used in arriving at a paper/guide on how SAIs should conduct audits in the midst of a crisis, health in particular; how SAIs should foster linkages if a crisis is a global one; how SAIs should come up with a report on public debt; how SAIs should report data on public debt</w:t>
            </w:r>
            <w:r>
              <w:rPr>
                <w:rFonts w:asciiTheme="majorHAnsi" w:hAnsiTheme="majorHAnsi"/>
              </w:rPr>
              <w:t>.</w:t>
            </w:r>
          </w:p>
        </w:tc>
      </w:tr>
      <w:tr w:rsidR="00920693" w:rsidRPr="007326AB" w14:paraId="239999E9" w14:textId="304FF7F3" w:rsidTr="00F852C2">
        <w:trPr>
          <w:trHeight w:val="1154"/>
        </w:trPr>
        <w:tc>
          <w:tcPr>
            <w:tcW w:w="1789" w:type="dxa"/>
            <w:vMerge/>
            <w:vAlign w:val="center"/>
          </w:tcPr>
          <w:p w14:paraId="427ED57A" w14:textId="77777777" w:rsidR="00920693" w:rsidRPr="007326AB" w:rsidRDefault="00920693" w:rsidP="00E62414">
            <w:pPr>
              <w:rPr>
                <w:rFonts w:asciiTheme="majorHAnsi" w:eastAsia="Calibri" w:hAnsiTheme="majorHAnsi"/>
                <w:spacing w:val="-2"/>
              </w:rPr>
            </w:pPr>
          </w:p>
        </w:tc>
        <w:tc>
          <w:tcPr>
            <w:tcW w:w="4184" w:type="dxa"/>
            <w:shd w:val="clear" w:color="auto" w:fill="auto"/>
          </w:tcPr>
          <w:p w14:paraId="16D08B7B" w14:textId="21072E31" w:rsidR="00920693" w:rsidRDefault="00920693" w:rsidP="00F852C2">
            <w:pPr>
              <w:autoSpaceDE w:val="0"/>
              <w:autoSpaceDN w:val="0"/>
              <w:adjustRightInd w:val="0"/>
              <w:spacing w:before="120" w:line="240" w:lineRule="auto"/>
              <w:rPr>
                <w:rFonts w:asciiTheme="majorHAnsi" w:hAnsiTheme="majorHAnsi"/>
              </w:rPr>
            </w:pPr>
            <w:r w:rsidRPr="00025FA0">
              <w:rPr>
                <w:rFonts w:asciiTheme="majorHAnsi" w:hAnsiTheme="majorHAnsi"/>
              </w:rPr>
              <w:t>Generation and dissemination knowledge and experiences</w:t>
            </w:r>
            <w:r>
              <w:rPr>
                <w:rFonts w:asciiTheme="majorHAnsi" w:hAnsiTheme="majorHAnsi"/>
              </w:rPr>
              <w:t xml:space="preserve"> (workshops, training, benchmarking exercise, joint/ collaborative audits, outreach activities etc.)</w:t>
            </w:r>
            <w:r>
              <w:rPr>
                <w:rStyle w:val="FootnoteReference"/>
                <w:rFonts w:asciiTheme="majorHAnsi" w:hAnsiTheme="majorHAnsi"/>
              </w:rPr>
              <w:footnoteReference w:id="3"/>
            </w:r>
          </w:p>
        </w:tc>
        <w:tc>
          <w:tcPr>
            <w:tcW w:w="3101" w:type="dxa"/>
            <w:shd w:val="clear" w:color="auto" w:fill="auto"/>
          </w:tcPr>
          <w:p w14:paraId="59839F36" w14:textId="0BE97577" w:rsidR="00920693" w:rsidRDefault="00920693" w:rsidP="00F852C2">
            <w:pPr>
              <w:spacing w:before="120" w:after="120"/>
              <w:rPr>
                <w:rFonts w:asciiTheme="majorHAnsi" w:hAnsiTheme="majorHAnsi"/>
              </w:rPr>
            </w:pPr>
            <w:r w:rsidRPr="007215E1">
              <w:rPr>
                <w:rFonts w:asciiTheme="majorHAnsi" w:hAnsiTheme="majorHAnsi"/>
                <w:shd w:val="clear" w:color="auto" w:fill="92D050"/>
                <w:lang w:val="id-ID"/>
              </w:rPr>
              <w:t>No. of seminars, fora, capacity-building programs and workshops in collaboration with World Bank, IDI, and other parties/stakeholders.</w:t>
            </w:r>
          </w:p>
        </w:tc>
        <w:tc>
          <w:tcPr>
            <w:tcW w:w="4577" w:type="dxa"/>
            <w:shd w:val="clear" w:color="auto" w:fill="FFFFFF" w:themeFill="background1"/>
          </w:tcPr>
          <w:p w14:paraId="690C1289" w14:textId="0F125DF1" w:rsidR="00602965" w:rsidRPr="0024786A" w:rsidRDefault="00602965" w:rsidP="0024786A">
            <w:pPr>
              <w:spacing w:before="120" w:after="120" w:line="240" w:lineRule="auto"/>
              <w:jc w:val="both"/>
              <w:rPr>
                <w:rFonts w:asciiTheme="majorHAnsi" w:hAnsiTheme="majorHAnsi"/>
                <w:i/>
                <w:u w:val="single"/>
                <w:lang w:val="en-PH"/>
              </w:rPr>
            </w:pPr>
            <w:r w:rsidRPr="006F30DC">
              <w:rPr>
                <w:rFonts w:asciiTheme="majorHAnsi" w:hAnsiTheme="majorHAnsi"/>
                <w:i/>
                <w:u w:val="single"/>
                <w:lang w:val="en-PH"/>
              </w:rPr>
              <w:t>Progress to date</w:t>
            </w:r>
          </w:p>
          <w:p w14:paraId="3D1829B7" w14:textId="72F4E03B" w:rsidR="00602965" w:rsidRPr="0024786A" w:rsidRDefault="00602965" w:rsidP="0024786A">
            <w:pPr>
              <w:spacing w:after="120"/>
              <w:rPr>
                <w:rFonts w:asciiTheme="majorHAnsi" w:hAnsiTheme="majorHAnsi"/>
              </w:rPr>
            </w:pPr>
            <w:r w:rsidRPr="002228A3">
              <w:rPr>
                <w:rFonts w:asciiTheme="majorHAnsi" w:hAnsiTheme="majorHAnsi"/>
              </w:rPr>
              <w:t xml:space="preserve">SAI Philippines had already started collaborating with the World Bank since 2017 on future technical cooperation with the WB.  Resource persons have been invited in WGPD Annual Meetings and information on the initiatives of the WGPD were considered in WB assessment reports related to debt audits.  </w:t>
            </w:r>
          </w:p>
          <w:p w14:paraId="63051DE8" w14:textId="77777777" w:rsidR="00602965" w:rsidRPr="002228A3" w:rsidRDefault="00602965" w:rsidP="00602965">
            <w:pPr>
              <w:rPr>
                <w:rFonts w:asciiTheme="majorHAnsi" w:hAnsiTheme="majorHAnsi"/>
              </w:rPr>
            </w:pPr>
            <w:r w:rsidRPr="002228A3">
              <w:rPr>
                <w:rFonts w:asciiTheme="majorHAnsi" w:hAnsiTheme="majorHAnsi"/>
              </w:rPr>
              <w:t>In first quarter of 2020, WGPD members participated in a WB-initiated online course on Debt Management Performance Assessment (</w:t>
            </w:r>
            <w:proofErr w:type="spellStart"/>
            <w:r w:rsidRPr="002228A3">
              <w:rPr>
                <w:rFonts w:asciiTheme="majorHAnsi" w:hAnsiTheme="majorHAnsi"/>
              </w:rPr>
              <w:t>DeMPA</w:t>
            </w:r>
            <w:proofErr w:type="spellEnd"/>
            <w:r w:rsidRPr="002228A3">
              <w:rPr>
                <w:rFonts w:asciiTheme="majorHAnsi" w:hAnsiTheme="majorHAnsi"/>
              </w:rPr>
              <w:t xml:space="preserve">) using the </w:t>
            </w:r>
            <w:proofErr w:type="spellStart"/>
            <w:r w:rsidRPr="002228A3">
              <w:rPr>
                <w:rFonts w:asciiTheme="majorHAnsi" w:hAnsiTheme="majorHAnsi"/>
              </w:rPr>
              <w:t>DeMPA</w:t>
            </w:r>
            <w:proofErr w:type="spellEnd"/>
            <w:r w:rsidRPr="002228A3">
              <w:rPr>
                <w:rFonts w:asciiTheme="majorHAnsi" w:hAnsiTheme="majorHAnsi"/>
              </w:rPr>
              <w:t xml:space="preserve"> Tool.  This activity was facilitated by the WB in coordination with the WGPD.</w:t>
            </w:r>
          </w:p>
          <w:p w14:paraId="5659319C" w14:textId="77777777" w:rsidR="00602965" w:rsidRDefault="00602965" w:rsidP="00602965">
            <w:pPr>
              <w:rPr>
                <w:rFonts w:asciiTheme="majorHAnsi" w:hAnsiTheme="majorHAnsi"/>
                <w:i/>
                <w:u w:val="single"/>
              </w:rPr>
            </w:pPr>
          </w:p>
          <w:p w14:paraId="36D10FD4" w14:textId="77777777" w:rsidR="00602965" w:rsidRPr="00C417CB" w:rsidRDefault="00602965" w:rsidP="00602965">
            <w:pPr>
              <w:rPr>
                <w:rFonts w:asciiTheme="majorHAnsi" w:hAnsiTheme="majorHAnsi"/>
                <w:i/>
                <w:u w:val="single"/>
              </w:rPr>
            </w:pPr>
            <w:r>
              <w:rPr>
                <w:rFonts w:asciiTheme="majorHAnsi" w:hAnsiTheme="majorHAnsi"/>
                <w:i/>
                <w:u w:val="single"/>
              </w:rPr>
              <w:t>A</w:t>
            </w:r>
            <w:r w:rsidRPr="00C417CB">
              <w:rPr>
                <w:rFonts w:asciiTheme="majorHAnsi" w:hAnsiTheme="majorHAnsi"/>
                <w:i/>
                <w:u w:val="single"/>
              </w:rPr>
              <w:t>ction items / key next items</w:t>
            </w:r>
          </w:p>
          <w:p w14:paraId="41A3491B" w14:textId="77777777" w:rsidR="00920693" w:rsidRDefault="00602965" w:rsidP="00141E4B">
            <w:pPr>
              <w:pStyle w:val="ListParagraph"/>
              <w:numPr>
                <w:ilvl w:val="0"/>
                <w:numId w:val="61"/>
              </w:numPr>
              <w:spacing w:before="120" w:after="120"/>
              <w:ind w:left="360"/>
              <w:rPr>
                <w:rFonts w:asciiTheme="majorHAnsi" w:hAnsiTheme="majorHAnsi"/>
              </w:rPr>
            </w:pPr>
            <w:r w:rsidRPr="00141E4B">
              <w:rPr>
                <w:rFonts w:asciiTheme="majorHAnsi" w:hAnsiTheme="majorHAnsi"/>
              </w:rPr>
              <w:t>The WGPD shall continue its strong collaboration with the WB and other stakeholders.</w:t>
            </w:r>
          </w:p>
          <w:p w14:paraId="297FB6EE" w14:textId="096B658D" w:rsidR="00141E4B" w:rsidRPr="00141E4B" w:rsidRDefault="00141E4B" w:rsidP="00141E4B">
            <w:pPr>
              <w:pStyle w:val="ListParagraph"/>
              <w:numPr>
                <w:ilvl w:val="0"/>
                <w:numId w:val="61"/>
              </w:numPr>
              <w:spacing w:before="120" w:after="120"/>
              <w:ind w:left="360"/>
              <w:rPr>
                <w:rFonts w:asciiTheme="majorHAnsi" w:hAnsiTheme="majorHAnsi"/>
              </w:rPr>
            </w:pPr>
            <w:r>
              <w:rPr>
                <w:rFonts w:asciiTheme="majorHAnsi" w:hAnsiTheme="majorHAnsi"/>
                <w:color w:val="FF0000"/>
                <w:lang w:val="en-GB"/>
              </w:rPr>
              <w:t xml:space="preserve">WGPD </w:t>
            </w:r>
            <w:r>
              <w:rPr>
                <w:rFonts w:asciiTheme="majorHAnsi" w:hAnsiTheme="majorHAnsi"/>
                <w:color w:val="FF0000"/>
                <w:lang w:val="en-GB"/>
              </w:rPr>
              <w:t xml:space="preserve">is </w:t>
            </w:r>
            <w:r>
              <w:rPr>
                <w:rFonts w:asciiTheme="majorHAnsi" w:hAnsiTheme="majorHAnsi"/>
                <w:color w:val="FF0000"/>
                <w:lang w:val="en-GB"/>
              </w:rPr>
              <w:t xml:space="preserve">exploring the conduct of a series of webinars, in close collaboration with the World Bank and the UNCTAD, on </w:t>
            </w:r>
            <w:r>
              <w:rPr>
                <w:rFonts w:asciiTheme="majorHAnsi" w:hAnsiTheme="majorHAnsi"/>
                <w:color w:val="FF0000"/>
                <w:lang w:val="en-GB"/>
              </w:rPr>
              <w:lastRenderedPageBreak/>
              <w:t>strengthening capacities of public debt auditors in the area of public debt renegotiation processes; IT analysis (digitization in debt audits); Government Debt Portfolio Strategy during Pandemic, among others.</w:t>
            </w:r>
            <w:r>
              <w:rPr>
                <w:rFonts w:asciiTheme="majorHAnsi" w:hAnsiTheme="majorHAnsi"/>
                <w:color w:val="FF0000"/>
                <w:lang w:val="en-GB"/>
              </w:rPr>
              <w:t xml:space="preserve"> The webinars are planned to be held on fourth quarter 2020.</w:t>
            </w:r>
          </w:p>
        </w:tc>
      </w:tr>
      <w:tr w:rsidR="00920693" w:rsidRPr="00AC6896" w14:paraId="01222FBF" w14:textId="09C63B05" w:rsidTr="0083677A">
        <w:trPr>
          <w:trHeight w:val="793"/>
        </w:trPr>
        <w:tc>
          <w:tcPr>
            <w:tcW w:w="1789" w:type="dxa"/>
            <w:vMerge w:val="restart"/>
          </w:tcPr>
          <w:p w14:paraId="418B033A" w14:textId="75E65F92" w:rsidR="00920693" w:rsidRPr="00AC6896" w:rsidRDefault="00920693" w:rsidP="002A621D">
            <w:pPr>
              <w:spacing w:before="120"/>
              <w:rPr>
                <w:rFonts w:asciiTheme="majorHAnsi" w:hAnsiTheme="majorHAnsi"/>
              </w:rPr>
            </w:pPr>
          </w:p>
        </w:tc>
        <w:tc>
          <w:tcPr>
            <w:tcW w:w="4184" w:type="dxa"/>
            <w:shd w:val="clear" w:color="auto" w:fill="auto"/>
          </w:tcPr>
          <w:p w14:paraId="0D0795B3" w14:textId="57234FF3" w:rsidR="00920693" w:rsidRPr="007326AB" w:rsidRDefault="00920693" w:rsidP="002A621D">
            <w:pPr>
              <w:autoSpaceDE w:val="0"/>
              <w:autoSpaceDN w:val="0"/>
              <w:adjustRightInd w:val="0"/>
              <w:spacing w:before="120" w:line="240" w:lineRule="auto"/>
              <w:rPr>
                <w:rFonts w:asciiTheme="majorHAnsi" w:hAnsiTheme="majorHAnsi"/>
              </w:rPr>
            </w:pPr>
            <w:r w:rsidRPr="006A31FF">
              <w:rPr>
                <w:rFonts w:asciiTheme="majorHAnsi" w:hAnsiTheme="majorHAnsi"/>
              </w:rPr>
              <w:t>Stakeholder engagement: The KSC, other strategic goal committees, IDI, INTOSAI regional organizations, the Supervisory Committee on Emerging Issues</w:t>
            </w:r>
            <w:r>
              <w:rPr>
                <w:rFonts w:asciiTheme="majorHAnsi" w:hAnsiTheme="majorHAnsi"/>
              </w:rPr>
              <w:t>,</w:t>
            </w:r>
            <w:r w:rsidRPr="006A31FF">
              <w:rPr>
                <w:rFonts w:asciiTheme="majorHAnsi" w:hAnsiTheme="majorHAnsi"/>
              </w:rPr>
              <w:t xml:space="preserve"> and the INTOSAI General Secretariat work together to avoid duplication of work and for greater synergy.</w:t>
            </w:r>
          </w:p>
        </w:tc>
        <w:tc>
          <w:tcPr>
            <w:tcW w:w="3101" w:type="dxa"/>
            <w:shd w:val="clear" w:color="auto" w:fill="auto"/>
          </w:tcPr>
          <w:p w14:paraId="7706AE65" w14:textId="1E1D3B33" w:rsidR="00920693" w:rsidRPr="007326AB" w:rsidRDefault="00920693" w:rsidP="002A621D">
            <w:pPr>
              <w:spacing w:before="120"/>
              <w:rPr>
                <w:rFonts w:asciiTheme="majorHAnsi" w:hAnsiTheme="majorHAnsi"/>
              </w:rPr>
            </w:pPr>
            <w:r w:rsidRPr="00C04895">
              <w:rPr>
                <w:rFonts w:asciiTheme="majorHAnsi" w:hAnsiTheme="majorHAnsi"/>
                <w:shd w:val="clear" w:color="auto" w:fill="92D050"/>
              </w:rPr>
              <w:t>Developed participation guidelines for the WG’s members.</w:t>
            </w:r>
          </w:p>
        </w:tc>
        <w:tc>
          <w:tcPr>
            <w:tcW w:w="4577" w:type="dxa"/>
            <w:shd w:val="clear" w:color="auto" w:fill="FFFFFF" w:themeFill="background1"/>
          </w:tcPr>
          <w:p w14:paraId="7F52F924" w14:textId="77777777" w:rsidR="00920693" w:rsidRPr="006F30DC" w:rsidRDefault="00920693" w:rsidP="00025FA0">
            <w:pPr>
              <w:spacing w:before="120" w:line="240" w:lineRule="auto"/>
              <w:jc w:val="both"/>
              <w:rPr>
                <w:rFonts w:asciiTheme="majorHAnsi" w:hAnsiTheme="majorHAnsi"/>
                <w:i/>
                <w:u w:val="single"/>
                <w:lang w:val="en-PH"/>
              </w:rPr>
            </w:pPr>
            <w:r w:rsidRPr="006F30DC">
              <w:rPr>
                <w:rFonts w:asciiTheme="majorHAnsi" w:hAnsiTheme="majorHAnsi"/>
                <w:i/>
                <w:u w:val="single"/>
                <w:lang w:val="en-PH"/>
              </w:rPr>
              <w:t>Progress to date</w:t>
            </w:r>
          </w:p>
          <w:p w14:paraId="2437AB77" w14:textId="76537327" w:rsidR="00920693" w:rsidRDefault="00920693" w:rsidP="0024786A">
            <w:pPr>
              <w:spacing w:before="120" w:line="240" w:lineRule="auto"/>
              <w:jc w:val="both"/>
              <w:rPr>
                <w:rFonts w:asciiTheme="majorHAnsi" w:hAnsiTheme="majorHAnsi"/>
              </w:rPr>
            </w:pPr>
            <w:r>
              <w:rPr>
                <w:rFonts w:asciiTheme="majorHAnsi" w:hAnsiTheme="majorHAnsi"/>
              </w:rPr>
              <w:t xml:space="preserve">WGPD has collaborated with the IDI on the QA process for co-branding of the non-IFPP document and IDI Global Public Goods, specifically the Handbook on Audit of Public Debt Management: A Guide for SAIs. </w:t>
            </w:r>
          </w:p>
          <w:p w14:paraId="47D035C7" w14:textId="518A1DDB" w:rsidR="006716A7" w:rsidRPr="006716A7" w:rsidRDefault="00920693" w:rsidP="0024786A">
            <w:pPr>
              <w:spacing w:before="240" w:line="240" w:lineRule="auto"/>
              <w:jc w:val="both"/>
              <w:rPr>
                <w:rFonts w:asciiTheme="majorHAnsi" w:hAnsiTheme="majorHAnsi"/>
                <w:i/>
                <w:u w:val="single"/>
                <w:lang w:val="en-PH"/>
              </w:rPr>
            </w:pPr>
            <w:r>
              <w:rPr>
                <w:rFonts w:asciiTheme="majorHAnsi" w:hAnsiTheme="majorHAnsi"/>
                <w:i/>
                <w:u w:val="single"/>
                <w:lang w:val="en-PH"/>
              </w:rPr>
              <w:t>Action items / key next items</w:t>
            </w:r>
          </w:p>
          <w:p w14:paraId="72958FF4" w14:textId="0BDD0A0B" w:rsidR="006716A7" w:rsidRPr="0024786A" w:rsidRDefault="00141E4B" w:rsidP="0024786A">
            <w:pPr>
              <w:spacing w:before="120" w:after="240" w:line="240" w:lineRule="auto"/>
              <w:jc w:val="both"/>
              <w:rPr>
                <w:rFonts w:asciiTheme="majorHAnsi" w:hAnsiTheme="majorHAnsi"/>
              </w:rPr>
            </w:pPr>
            <w:r w:rsidRPr="00E20426">
              <w:rPr>
                <w:rFonts w:asciiTheme="majorHAnsi" w:hAnsiTheme="majorHAnsi"/>
                <w:lang w:val="en-GB"/>
              </w:rPr>
              <w:t>WGPD has collaborated with</w:t>
            </w:r>
            <w:r>
              <w:rPr>
                <w:rFonts w:asciiTheme="majorHAnsi" w:hAnsiTheme="majorHAnsi"/>
                <w:lang w:val="en-GB"/>
              </w:rPr>
              <w:t xml:space="preserve"> the</w:t>
            </w:r>
            <w:r w:rsidRPr="00E20426">
              <w:rPr>
                <w:rFonts w:asciiTheme="majorHAnsi" w:hAnsiTheme="majorHAnsi"/>
                <w:lang w:val="en-GB"/>
              </w:rPr>
              <w:t xml:space="preserve"> IDI in </w:t>
            </w:r>
            <w:r>
              <w:rPr>
                <w:rFonts w:asciiTheme="majorHAnsi" w:hAnsiTheme="majorHAnsi"/>
                <w:color w:val="FF0000"/>
                <w:lang w:val="en-GB"/>
              </w:rPr>
              <w:t>the development and co-branding of the Handbook on Audit of Public Debt: A Guide for Auditors; The Handbook version 0 has undergone quality check by the WGPD which ensured that all comments and disposition of comments during the exposure period were adequately considered in the Handbook, as applicable and necessary. The Handbook version 1 is now available in the IDI website, while the QA review is in process.</w:t>
            </w:r>
          </w:p>
          <w:p w14:paraId="6EC07980" w14:textId="02D12511" w:rsidR="006716A7" w:rsidRPr="0024786A" w:rsidRDefault="003D4F33" w:rsidP="006716A7">
            <w:pPr>
              <w:spacing w:before="120" w:after="120" w:line="240" w:lineRule="auto"/>
              <w:jc w:val="both"/>
              <w:rPr>
                <w:rFonts w:asciiTheme="majorHAnsi" w:hAnsiTheme="majorHAnsi"/>
                <w:i/>
                <w:u w:val="single"/>
              </w:rPr>
            </w:pPr>
            <w:r>
              <w:rPr>
                <w:rFonts w:asciiTheme="majorHAnsi" w:hAnsiTheme="majorHAnsi"/>
                <w:i/>
                <w:u w:val="single"/>
              </w:rPr>
              <w:t>Action items</w:t>
            </w:r>
            <w:r w:rsidR="006716A7" w:rsidRPr="0024786A">
              <w:rPr>
                <w:rFonts w:asciiTheme="majorHAnsi" w:hAnsiTheme="majorHAnsi"/>
                <w:i/>
                <w:u w:val="single"/>
              </w:rPr>
              <w:t xml:space="preserve">/key next </w:t>
            </w:r>
            <w:r>
              <w:rPr>
                <w:rFonts w:asciiTheme="majorHAnsi" w:hAnsiTheme="majorHAnsi"/>
                <w:i/>
                <w:u w:val="single"/>
              </w:rPr>
              <w:t>items</w:t>
            </w:r>
          </w:p>
          <w:p w14:paraId="6902190F" w14:textId="5215D03F" w:rsidR="006716A7" w:rsidRPr="006716A7" w:rsidRDefault="006716A7" w:rsidP="006716A7">
            <w:pPr>
              <w:pStyle w:val="ListParagraph"/>
              <w:numPr>
                <w:ilvl w:val="0"/>
                <w:numId w:val="55"/>
              </w:numPr>
              <w:spacing w:before="120" w:after="120" w:line="240" w:lineRule="auto"/>
              <w:ind w:left="376"/>
              <w:jc w:val="both"/>
              <w:rPr>
                <w:rFonts w:asciiTheme="majorHAnsi" w:hAnsiTheme="majorHAnsi"/>
              </w:rPr>
            </w:pPr>
            <w:r w:rsidRPr="006716A7">
              <w:rPr>
                <w:rFonts w:asciiTheme="majorHAnsi" w:hAnsiTheme="majorHAnsi"/>
              </w:rPr>
              <w:t>As agreed, the WGPD shall take assurance on the QA done by the IDI in the certification to be issued by the WGPD Chair for the cobranding of the Handbook.</w:t>
            </w:r>
          </w:p>
          <w:p w14:paraId="26F0DB84" w14:textId="29E2DBC7" w:rsidR="00F67A14" w:rsidRPr="00F67A14" w:rsidRDefault="006716A7" w:rsidP="006716A7">
            <w:pPr>
              <w:pStyle w:val="ListParagraph"/>
              <w:numPr>
                <w:ilvl w:val="0"/>
                <w:numId w:val="55"/>
              </w:numPr>
              <w:spacing w:before="120" w:line="240" w:lineRule="auto"/>
              <w:ind w:left="376"/>
              <w:jc w:val="both"/>
              <w:rPr>
                <w:rFonts w:asciiTheme="majorHAnsi" w:hAnsiTheme="majorHAnsi"/>
              </w:rPr>
            </w:pPr>
            <w:r w:rsidRPr="006716A7">
              <w:rPr>
                <w:rFonts w:asciiTheme="majorHAnsi" w:hAnsiTheme="majorHAnsi"/>
              </w:rPr>
              <w:t xml:space="preserve">The WGPD shall continue its close collaboration with the IDI for its capacity </w:t>
            </w:r>
            <w:r w:rsidRPr="006716A7">
              <w:rPr>
                <w:rFonts w:asciiTheme="majorHAnsi" w:hAnsiTheme="majorHAnsi"/>
              </w:rPr>
              <w:lastRenderedPageBreak/>
              <w:t>building initiatives related to audits of public debt topics.</w:t>
            </w:r>
          </w:p>
        </w:tc>
      </w:tr>
      <w:tr w:rsidR="00920693" w:rsidRPr="00AC6896" w14:paraId="64719A87" w14:textId="77D31957" w:rsidTr="0083677A">
        <w:trPr>
          <w:trHeight w:val="1236"/>
        </w:trPr>
        <w:tc>
          <w:tcPr>
            <w:tcW w:w="1789" w:type="dxa"/>
            <w:vMerge/>
          </w:tcPr>
          <w:p w14:paraId="178E6F3B" w14:textId="0E0EA585" w:rsidR="00920693" w:rsidRPr="006A31FF" w:rsidRDefault="00920693" w:rsidP="002A621D">
            <w:pPr>
              <w:spacing w:before="120"/>
              <w:rPr>
                <w:rFonts w:asciiTheme="majorHAnsi" w:hAnsiTheme="majorHAnsi"/>
              </w:rPr>
            </w:pPr>
          </w:p>
        </w:tc>
        <w:tc>
          <w:tcPr>
            <w:tcW w:w="4184" w:type="dxa"/>
            <w:shd w:val="clear" w:color="auto" w:fill="auto"/>
          </w:tcPr>
          <w:p w14:paraId="4E4DF0CB" w14:textId="5773954F" w:rsidR="00920693" w:rsidRPr="006A31FF" w:rsidRDefault="00920693" w:rsidP="002A621D">
            <w:pPr>
              <w:pStyle w:val="Default"/>
              <w:spacing w:before="120" w:after="129"/>
              <w:rPr>
                <w:rFonts w:asciiTheme="majorHAnsi" w:hAnsiTheme="majorHAnsi"/>
                <w:sz w:val="20"/>
                <w:szCs w:val="20"/>
              </w:rPr>
            </w:pPr>
            <w:r w:rsidRPr="00AC6896">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3101" w:type="dxa"/>
            <w:shd w:val="clear" w:color="auto" w:fill="auto"/>
          </w:tcPr>
          <w:p w14:paraId="1F1B703B" w14:textId="1F4D1EB6" w:rsidR="00920693" w:rsidRPr="003B2CF8" w:rsidRDefault="00920693" w:rsidP="003B2CF8">
            <w:pPr>
              <w:spacing w:before="120"/>
              <w:rPr>
                <w:rFonts w:asciiTheme="majorHAnsi" w:hAnsiTheme="majorHAnsi"/>
              </w:rPr>
            </w:pPr>
            <w:r w:rsidRPr="003B2CF8">
              <w:rPr>
                <w:rFonts w:asciiTheme="majorHAnsi" w:hAnsiTheme="majorHAnsi"/>
                <w:color w:val="FF0000"/>
                <w:highlight w:val="cyan"/>
              </w:rPr>
              <w:t xml:space="preserve">TBD  </w:t>
            </w:r>
          </w:p>
        </w:tc>
        <w:tc>
          <w:tcPr>
            <w:tcW w:w="4577" w:type="dxa"/>
            <w:shd w:val="clear" w:color="auto" w:fill="FFFFFF" w:themeFill="background1"/>
          </w:tcPr>
          <w:p w14:paraId="7AAD465F" w14:textId="43180FA7" w:rsidR="00920693" w:rsidRDefault="00920693" w:rsidP="002A621D">
            <w:pPr>
              <w:spacing w:before="120"/>
              <w:rPr>
                <w:rFonts w:asciiTheme="majorHAnsi" w:hAnsiTheme="majorHAnsi"/>
              </w:rPr>
            </w:pPr>
            <w:r>
              <w:rPr>
                <w:rFonts w:asciiTheme="majorHAnsi" w:hAnsiTheme="majorHAnsi"/>
              </w:rPr>
              <w:t>TBD</w:t>
            </w:r>
          </w:p>
        </w:tc>
      </w:tr>
      <w:tr w:rsidR="00920693" w:rsidRPr="00AC6896" w14:paraId="088E2EEC" w14:textId="640B7576" w:rsidTr="0024786A">
        <w:trPr>
          <w:trHeight w:val="3547"/>
        </w:trPr>
        <w:tc>
          <w:tcPr>
            <w:tcW w:w="1789" w:type="dxa"/>
            <w:vMerge/>
          </w:tcPr>
          <w:p w14:paraId="75421C29" w14:textId="77777777" w:rsidR="00920693" w:rsidRPr="006A31FF" w:rsidRDefault="00920693" w:rsidP="002A621D">
            <w:pPr>
              <w:spacing w:before="120"/>
              <w:rPr>
                <w:rFonts w:asciiTheme="majorHAnsi" w:hAnsiTheme="majorHAnsi"/>
              </w:rPr>
            </w:pPr>
          </w:p>
        </w:tc>
        <w:tc>
          <w:tcPr>
            <w:tcW w:w="4184" w:type="dxa"/>
            <w:shd w:val="clear" w:color="auto" w:fill="auto"/>
          </w:tcPr>
          <w:p w14:paraId="043F390D" w14:textId="39AAC51B" w:rsidR="00920693" w:rsidRPr="00AC6896" w:rsidRDefault="00920693" w:rsidP="006932F4">
            <w:pPr>
              <w:pStyle w:val="Default"/>
              <w:spacing w:before="120" w:after="129"/>
              <w:rPr>
                <w:rFonts w:asciiTheme="majorHAnsi" w:hAnsiTheme="majorHAnsi" w:cs="Times New Roman"/>
                <w:color w:val="auto"/>
                <w:sz w:val="20"/>
                <w:szCs w:val="20"/>
              </w:rPr>
            </w:pPr>
            <w:r w:rsidRPr="00AC6896">
              <w:rPr>
                <w:rFonts w:asciiTheme="majorHAnsi" w:hAnsiTheme="majorHAnsi" w:cs="Times New Roman"/>
                <w:color w:val="auto"/>
                <w:sz w:val="20"/>
                <w:szCs w:val="20"/>
              </w:rPr>
              <w:t xml:space="preserve">Cooperate with and leverage the efforts of </w:t>
            </w:r>
            <w:r>
              <w:rPr>
                <w:rFonts w:asciiTheme="majorHAnsi" w:hAnsiTheme="majorHAnsi" w:cs="Times New Roman"/>
                <w:color w:val="auto"/>
                <w:sz w:val="20"/>
                <w:szCs w:val="20"/>
              </w:rPr>
              <w:t>t</w:t>
            </w:r>
            <w:r w:rsidRPr="00AC6896">
              <w:rPr>
                <w:rFonts w:asciiTheme="majorHAnsi" w:hAnsiTheme="majorHAnsi" w:cs="Times New Roman"/>
                <w:color w:val="auto"/>
                <w:sz w:val="20"/>
                <w:szCs w:val="20"/>
              </w:rPr>
              <w:t xml:space="preserve">he International Journal of Government Auditing and the General Secretariat to expand the use of social media, video, and interactive tools to ensure “real-time” communication across INTOSAI, its partners, and with other interested parties. </w:t>
            </w:r>
          </w:p>
        </w:tc>
        <w:tc>
          <w:tcPr>
            <w:tcW w:w="3101" w:type="dxa"/>
            <w:shd w:val="clear" w:color="auto" w:fill="auto"/>
          </w:tcPr>
          <w:p w14:paraId="087C476C" w14:textId="16360A4D" w:rsidR="00920693" w:rsidRPr="009A13F9" w:rsidRDefault="00920693" w:rsidP="00F868ED">
            <w:pPr>
              <w:spacing w:before="120" w:after="120" w:line="240" w:lineRule="auto"/>
              <w:rPr>
                <w:rFonts w:asciiTheme="majorHAnsi" w:hAnsiTheme="majorHAnsi"/>
              </w:rPr>
            </w:pPr>
            <w:r w:rsidRPr="003B2CF8">
              <w:rPr>
                <w:rFonts w:asciiTheme="majorHAnsi" w:hAnsiTheme="majorHAnsi"/>
                <w:shd w:val="clear" w:color="auto" w:fill="FFC000"/>
              </w:rPr>
              <w:t>Established close coordination with the KSC-IDI, INTOSAI General Secretariat (Website), and US GAO (Journal) for the timely publication of WGPD outputs on public debt auditing issues.</w:t>
            </w:r>
            <w:r>
              <w:rPr>
                <w:rFonts w:asciiTheme="majorHAnsi" w:hAnsiTheme="majorHAnsi"/>
              </w:rPr>
              <w:t xml:space="preserve">  </w:t>
            </w:r>
          </w:p>
        </w:tc>
        <w:tc>
          <w:tcPr>
            <w:tcW w:w="4577" w:type="dxa"/>
            <w:shd w:val="clear" w:color="auto" w:fill="FFFFFF" w:themeFill="background1"/>
          </w:tcPr>
          <w:p w14:paraId="4D9AB937" w14:textId="77777777" w:rsidR="009D1013" w:rsidRDefault="009D1013" w:rsidP="009D1013">
            <w:pPr>
              <w:spacing w:before="120" w:line="240" w:lineRule="auto"/>
              <w:jc w:val="both"/>
              <w:rPr>
                <w:rFonts w:asciiTheme="majorHAnsi" w:hAnsiTheme="majorHAnsi"/>
                <w:i/>
                <w:u w:val="single"/>
                <w:lang w:val="en-PH"/>
              </w:rPr>
            </w:pPr>
            <w:r>
              <w:rPr>
                <w:rFonts w:asciiTheme="majorHAnsi" w:hAnsiTheme="majorHAnsi"/>
                <w:i/>
                <w:u w:val="single"/>
                <w:lang w:val="en-PH"/>
              </w:rPr>
              <w:t>Progress to date</w:t>
            </w:r>
          </w:p>
          <w:p w14:paraId="43C03EF5" w14:textId="77777777" w:rsidR="009D1013" w:rsidRDefault="009D1013" w:rsidP="009D1013">
            <w:pPr>
              <w:spacing w:before="120" w:after="200" w:line="240" w:lineRule="auto"/>
              <w:jc w:val="both"/>
              <w:rPr>
                <w:rFonts w:asciiTheme="majorHAnsi" w:hAnsiTheme="majorHAnsi"/>
              </w:rPr>
            </w:pPr>
            <w:r>
              <w:rPr>
                <w:rFonts w:asciiTheme="majorHAnsi" w:hAnsiTheme="majorHAnsi"/>
              </w:rPr>
              <w:t xml:space="preserve">Upon confirmation by the KSC Secretariat that the revision of the WGPD Terms of Reference was not included in the motions submitted and presented to the Governing Board (GB) in its meeting last September 2019, the Secretariat, in order to collect more comments, recirculated its </w:t>
            </w:r>
            <w:proofErr w:type="spellStart"/>
            <w:r>
              <w:rPr>
                <w:rFonts w:asciiTheme="majorHAnsi" w:hAnsiTheme="majorHAnsi"/>
              </w:rPr>
              <w:t>ToR</w:t>
            </w:r>
            <w:proofErr w:type="spellEnd"/>
            <w:r>
              <w:rPr>
                <w:rFonts w:asciiTheme="majorHAnsi" w:hAnsiTheme="majorHAnsi"/>
              </w:rPr>
              <w:t>.</w:t>
            </w:r>
          </w:p>
          <w:p w14:paraId="413C1DE3" w14:textId="77777777" w:rsidR="009D1013" w:rsidRPr="006F30DC" w:rsidRDefault="009D1013" w:rsidP="009D1013">
            <w:pPr>
              <w:spacing w:line="240" w:lineRule="auto"/>
              <w:jc w:val="both"/>
              <w:rPr>
                <w:rFonts w:asciiTheme="majorHAnsi" w:hAnsiTheme="majorHAnsi"/>
                <w:i/>
                <w:u w:val="single"/>
                <w:lang w:val="en-PH"/>
              </w:rPr>
            </w:pPr>
            <w:r>
              <w:rPr>
                <w:rFonts w:asciiTheme="majorHAnsi" w:hAnsiTheme="majorHAnsi"/>
                <w:i/>
                <w:u w:val="single"/>
                <w:lang w:val="en-PH"/>
              </w:rPr>
              <w:t>Action items / key next items</w:t>
            </w:r>
          </w:p>
          <w:p w14:paraId="3A5361FC" w14:textId="77777777" w:rsidR="009D1013" w:rsidRPr="0024786A" w:rsidRDefault="009D1013" w:rsidP="009D1013">
            <w:pPr>
              <w:spacing w:line="240" w:lineRule="auto"/>
              <w:jc w:val="both"/>
              <w:rPr>
                <w:rFonts w:asciiTheme="majorHAnsi" w:hAnsiTheme="majorHAnsi"/>
                <w:sz w:val="12"/>
                <w:szCs w:val="12"/>
                <w:lang w:val="en-PH"/>
              </w:rPr>
            </w:pPr>
          </w:p>
          <w:p w14:paraId="50312611" w14:textId="05A2F1BB" w:rsidR="00F31FEF" w:rsidRPr="009D1013" w:rsidRDefault="009D1013" w:rsidP="009D1013">
            <w:pPr>
              <w:spacing w:line="240" w:lineRule="auto"/>
              <w:jc w:val="both"/>
              <w:rPr>
                <w:rFonts w:asciiTheme="majorHAnsi" w:hAnsiTheme="majorHAnsi"/>
              </w:rPr>
            </w:pPr>
            <w:r w:rsidRPr="00CB26CE">
              <w:rPr>
                <w:rFonts w:asciiTheme="majorHAnsi" w:hAnsiTheme="majorHAnsi"/>
              </w:rPr>
              <w:t xml:space="preserve">The </w:t>
            </w:r>
            <w:r>
              <w:rPr>
                <w:rFonts w:asciiTheme="majorHAnsi" w:hAnsiTheme="majorHAnsi"/>
              </w:rPr>
              <w:t xml:space="preserve">comments on the revised </w:t>
            </w:r>
            <w:proofErr w:type="spellStart"/>
            <w:r>
              <w:rPr>
                <w:rFonts w:asciiTheme="majorHAnsi" w:hAnsiTheme="majorHAnsi"/>
              </w:rPr>
              <w:t>ToR</w:t>
            </w:r>
            <w:proofErr w:type="spellEnd"/>
            <w:r>
              <w:rPr>
                <w:rFonts w:asciiTheme="majorHAnsi" w:hAnsiTheme="majorHAnsi"/>
              </w:rPr>
              <w:t xml:space="preserve"> and the </w:t>
            </w:r>
            <w:r w:rsidRPr="00CB26CE">
              <w:rPr>
                <w:rFonts w:asciiTheme="majorHAnsi" w:hAnsiTheme="majorHAnsi"/>
              </w:rPr>
              <w:t>Secretariat</w:t>
            </w:r>
            <w:r>
              <w:rPr>
                <w:rFonts w:asciiTheme="majorHAnsi" w:hAnsiTheme="majorHAnsi"/>
              </w:rPr>
              <w:t>’s disposition shall be presented in the upcoming WGPD virtual meeting on August 26 and 27 for adaptation of the members and observer.</w:t>
            </w:r>
          </w:p>
        </w:tc>
      </w:tr>
    </w:tbl>
    <w:p w14:paraId="51AAD7EB" w14:textId="5E340DCF" w:rsidR="009F715C" w:rsidRPr="00AC6896" w:rsidRDefault="009F715C">
      <w:pPr>
        <w:rPr>
          <w:rFonts w:asciiTheme="majorHAnsi" w:eastAsia="Times New Roman" w:hAnsiTheme="majorHAnsi" w:cs="Times New Roman"/>
          <w:sz w:val="20"/>
          <w:szCs w:val="20"/>
          <w:lang w:val="en-US"/>
        </w:rPr>
      </w:pPr>
    </w:p>
    <w:sectPr w:rsidR="009F715C" w:rsidRPr="00AC6896" w:rsidSect="0083677A">
      <w:footerReference w:type="default" r:id="rId8"/>
      <w:pgSz w:w="16839" w:h="11907" w:orient="landscape" w:code="9"/>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8EC30" w14:textId="77777777" w:rsidR="00182571" w:rsidRDefault="00182571" w:rsidP="00130036">
      <w:pPr>
        <w:spacing w:after="0" w:line="240" w:lineRule="auto"/>
      </w:pPr>
      <w:r>
        <w:separator/>
      </w:r>
    </w:p>
  </w:endnote>
  <w:endnote w:type="continuationSeparator" w:id="0">
    <w:p w14:paraId="58BCB865" w14:textId="77777777" w:rsidR="00182571" w:rsidRDefault="00182571"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nion Pro">
    <w:altName w:val="Cambria"/>
    <w:charset w:val="CC"/>
    <w:family w:val="roman"/>
    <w:pitch w:val="variable"/>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4004269"/>
      <w:docPartObj>
        <w:docPartGallery w:val="Page Numbers (Bottom of Page)"/>
        <w:docPartUnique/>
      </w:docPartObj>
    </w:sdtPr>
    <w:sdtEndPr>
      <w:rPr>
        <w:noProof/>
      </w:rPr>
    </w:sdtEndPr>
    <w:sdtContent>
      <w:p w14:paraId="197FE24B" w14:textId="2DFDAB52" w:rsidR="00130036" w:rsidRDefault="00130036">
        <w:pPr>
          <w:pStyle w:val="Footer"/>
          <w:jc w:val="center"/>
        </w:pPr>
        <w:r>
          <w:fldChar w:fldCharType="begin"/>
        </w:r>
        <w:r>
          <w:instrText xml:space="preserve"> PAGE   \* MERGEFORMAT </w:instrText>
        </w:r>
        <w:r>
          <w:fldChar w:fldCharType="separate"/>
        </w:r>
        <w:r w:rsidR="00BE5621">
          <w:rPr>
            <w:noProof/>
          </w:rPr>
          <w:t>8</w:t>
        </w:r>
        <w:r>
          <w:rPr>
            <w:noProof/>
          </w:rPr>
          <w:fldChar w:fldCharType="end"/>
        </w:r>
      </w:p>
    </w:sdtContent>
  </w:sdt>
  <w:p w14:paraId="5A1926BE" w14:textId="77777777" w:rsidR="00130036" w:rsidRDefault="001300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8E895" w14:textId="77777777" w:rsidR="00182571" w:rsidRDefault="00182571" w:rsidP="00130036">
      <w:pPr>
        <w:spacing w:after="0" w:line="240" w:lineRule="auto"/>
      </w:pPr>
      <w:r>
        <w:separator/>
      </w:r>
    </w:p>
  </w:footnote>
  <w:footnote w:type="continuationSeparator" w:id="0">
    <w:p w14:paraId="66F64E09" w14:textId="77777777" w:rsidR="00182571" w:rsidRDefault="00182571" w:rsidP="00130036">
      <w:pPr>
        <w:spacing w:after="0" w:line="240" w:lineRule="auto"/>
      </w:pPr>
      <w:r>
        <w:continuationSeparator/>
      </w:r>
    </w:p>
  </w:footnote>
  <w:footnote w:id="1">
    <w:p w14:paraId="7D03250B" w14:textId="77777777" w:rsidR="00920693" w:rsidRPr="003A55C8" w:rsidRDefault="00920693" w:rsidP="00FF5E3A">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w:t>
      </w:r>
      <w:proofErr w:type="spellStart"/>
      <w:r w:rsidRPr="003A55C8">
        <w:rPr>
          <w:sz w:val="16"/>
          <w:szCs w:val="16"/>
          <w:vertAlign w:val="superscript"/>
        </w:rPr>
        <w:t>i</w:t>
      </w:r>
      <w:proofErr w:type="spellEnd"/>
      <w:r w:rsidRPr="003A55C8">
        <w:rPr>
          <w:sz w:val="16"/>
          <w:szCs w:val="16"/>
          <w:vertAlign w:val="superscript"/>
        </w:rPr>
        <w:t>)</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r>
        <w:rPr>
          <w:sz w:val="16"/>
          <w:szCs w:val="16"/>
        </w:rPr>
        <w:t>Appropriate colour may be chosen as the background of the cell.</w:t>
      </w:r>
    </w:p>
  </w:footnote>
  <w:footnote w:id="2">
    <w:p w14:paraId="7CB122BC" w14:textId="77777777" w:rsidR="00920693" w:rsidRDefault="00920693" w:rsidP="00FF5E3A">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r>
        <w:rPr>
          <w:sz w:val="16"/>
          <w:szCs w:val="16"/>
        </w:rPr>
        <w:t>T</w:t>
      </w:r>
      <w:r w:rsidRPr="00711677">
        <w:rPr>
          <w:sz w:val="16"/>
          <w:szCs w:val="16"/>
        </w:rPr>
        <w:t>he progress achieved till date and the key items/next steps needed to ensure continued progress towards each objective and to manage risks may be indicated here.</w:t>
      </w:r>
    </w:p>
    <w:p w14:paraId="328E7D5C" w14:textId="77777777" w:rsidR="00920693" w:rsidRPr="003A55C8" w:rsidRDefault="00920693" w:rsidP="00FF5E3A">
      <w:pPr>
        <w:pStyle w:val="FootnoteText"/>
        <w:ind w:left="284" w:hanging="284"/>
        <w:rPr>
          <w:sz w:val="16"/>
          <w:szCs w:val="16"/>
        </w:rPr>
      </w:pPr>
    </w:p>
  </w:footnote>
  <w:footnote w:id="3">
    <w:p w14:paraId="1F6BFE07" w14:textId="77777777" w:rsidR="00920693" w:rsidRPr="00A75398" w:rsidRDefault="00920693">
      <w:pPr>
        <w:pStyle w:val="FootnoteText"/>
        <w:rPr>
          <w:lang w:val="en-US"/>
        </w:rPr>
      </w:pPr>
      <w:r>
        <w:rPr>
          <w:rStyle w:val="FootnoteReference"/>
        </w:rPr>
        <w:footnoteRef/>
      </w:r>
      <w:r>
        <w:t xml:space="preserve"> A row may be added for each activity like Workshop, trainings</w:t>
      </w:r>
      <w:r>
        <w:rPr>
          <w:rFonts w:asciiTheme="majorHAnsi" w:hAnsiTheme="majorHAnsi"/>
        </w:rPr>
        <w:t xml:space="preserve">, benchmarking exercise, joint/ collaborative audits, outreach activities etc.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613E"/>
    <w:multiLevelType w:val="hybridMultilevel"/>
    <w:tmpl w:val="4A7A87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109A5"/>
    <w:multiLevelType w:val="hybridMultilevel"/>
    <w:tmpl w:val="ACAA65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622A8"/>
    <w:multiLevelType w:val="hybridMultilevel"/>
    <w:tmpl w:val="AFAE4580"/>
    <w:lvl w:ilvl="0" w:tplc="BA4EB33A">
      <w:start w:val="1"/>
      <w:numFmt w:val="lowerLetter"/>
      <w:lvlText w:val="%1."/>
      <w:lvlJc w:val="left"/>
      <w:pPr>
        <w:ind w:left="45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E1F6F"/>
    <w:multiLevelType w:val="hybridMultilevel"/>
    <w:tmpl w:val="E30CE4DC"/>
    <w:lvl w:ilvl="0" w:tplc="2462135E">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7851A58"/>
    <w:multiLevelType w:val="hybridMultilevel"/>
    <w:tmpl w:val="A8AE8462"/>
    <w:lvl w:ilvl="0" w:tplc="34090001">
      <w:start w:val="1"/>
      <w:numFmt w:val="bullet"/>
      <w:lvlText w:val=""/>
      <w:lvlJc w:val="left"/>
      <w:pPr>
        <w:ind w:left="1055" w:hanging="360"/>
      </w:pPr>
      <w:rPr>
        <w:rFonts w:ascii="Symbol" w:hAnsi="Symbol" w:hint="default"/>
      </w:rPr>
    </w:lvl>
    <w:lvl w:ilvl="1" w:tplc="34090003" w:tentative="1">
      <w:start w:val="1"/>
      <w:numFmt w:val="bullet"/>
      <w:lvlText w:val="o"/>
      <w:lvlJc w:val="left"/>
      <w:pPr>
        <w:ind w:left="1775" w:hanging="360"/>
      </w:pPr>
      <w:rPr>
        <w:rFonts w:ascii="Courier New" w:hAnsi="Courier New" w:cs="Courier New" w:hint="default"/>
      </w:rPr>
    </w:lvl>
    <w:lvl w:ilvl="2" w:tplc="34090005" w:tentative="1">
      <w:start w:val="1"/>
      <w:numFmt w:val="bullet"/>
      <w:lvlText w:val=""/>
      <w:lvlJc w:val="left"/>
      <w:pPr>
        <w:ind w:left="2495" w:hanging="360"/>
      </w:pPr>
      <w:rPr>
        <w:rFonts w:ascii="Wingdings" w:hAnsi="Wingdings" w:hint="default"/>
      </w:rPr>
    </w:lvl>
    <w:lvl w:ilvl="3" w:tplc="34090001" w:tentative="1">
      <w:start w:val="1"/>
      <w:numFmt w:val="bullet"/>
      <w:lvlText w:val=""/>
      <w:lvlJc w:val="left"/>
      <w:pPr>
        <w:ind w:left="3215" w:hanging="360"/>
      </w:pPr>
      <w:rPr>
        <w:rFonts w:ascii="Symbol" w:hAnsi="Symbol" w:hint="default"/>
      </w:rPr>
    </w:lvl>
    <w:lvl w:ilvl="4" w:tplc="34090003" w:tentative="1">
      <w:start w:val="1"/>
      <w:numFmt w:val="bullet"/>
      <w:lvlText w:val="o"/>
      <w:lvlJc w:val="left"/>
      <w:pPr>
        <w:ind w:left="3935" w:hanging="360"/>
      </w:pPr>
      <w:rPr>
        <w:rFonts w:ascii="Courier New" w:hAnsi="Courier New" w:cs="Courier New" w:hint="default"/>
      </w:rPr>
    </w:lvl>
    <w:lvl w:ilvl="5" w:tplc="34090005" w:tentative="1">
      <w:start w:val="1"/>
      <w:numFmt w:val="bullet"/>
      <w:lvlText w:val=""/>
      <w:lvlJc w:val="left"/>
      <w:pPr>
        <w:ind w:left="4655" w:hanging="360"/>
      </w:pPr>
      <w:rPr>
        <w:rFonts w:ascii="Wingdings" w:hAnsi="Wingdings" w:hint="default"/>
      </w:rPr>
    </w:lvl>
    <w:lvl w:ilvl="6" w:tplc="34090001" w:tentative="1">
      <w:start w:val="1"/>
      <w:numFmt w:val="bullet"/>
      <w:lvlText w:val=""/>
      <w:lvlJc w:val="left"/>
      <w:pPr>
        <w:ind w:left="5375" w:hanging="360"/>
      </w:pPr>
      <w:rPr>
        <w:rFonts w:ascii="Symbol" w:hAnsi="Symbol" w:hint="default"/>
      </w:rPr>
    </w:lvl>
    <w:lvl w:ilvl="7" w:tplc="34090003" w:tentative="1">
      <w:start w:val="1"/>
      <w:numFmt w:val="bullet"/>
      <w:lvlText w:val="o"/>
      <w:lvlJc w:val="left"/>
      <w:pPr>
        <w:ind w:left="6095" w:hanging="360"/>
      </w:pPr>
      <w:rPr>
        <w:rFonts w:ascii="Courier New" w:hAnsi="Courier New" w:cs="Courier New" w:hint="default"/>
      </w:rPr>
    </w:lvl>
    <w:lvl w:ilvl="8" w:tplc="34090005" w:tentative="1">
      <w:start w:val="1"/>
      <w:numFmt w:val="bullet"/>
      <w:lvlText w:val=""/>
      <w:lvlJc w:val="left"/>
      <w:pPr>
        <w:ind w:left="6815" w:hanging="360"/>
      </w:pPr>
      <w:rPr>
        <w:rFonts w:ascii="Wingdings" w:hAnsi="Wingdings" w:hint="default"/>
      </w:rPr>
    </w:lvl>
  </w:abstractNum>
  <w:abstractNum w:abstractNumId="5" w15:restartNumberingAfterBreak="0">
    <w:nsid w:val="0A797BEC"/>
    <w:multiLevelType w:val="hybridMultilevel"/>
    <w:tmpl w:val="A3580950"/>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6" w15:restartNumberingAfterBreak="0">
    <w:nsid w:val="0D6D2F88"/>
    <w:multiLevelType w:val="hybridMultilevel"/>
    <w:tmpl w:val="AFAE4580"/>
    <w:lvl w:ilvl="0" w:tplc="BA4EB33A">
      <w:start w:val="1"/>
      <w:numFmt w:val="lowerLetter"/>
      <w:lvlText w:val="%1."/>
      <w:lvlJc w:val="left"/>
      <w:pPr>
        <w:ind w:left="45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A25646"/>
    <w:multiLevelType w:val="hybridMultilevel"/>
    <w:tmpl w:val="AFAE4580"/>
    <w:lvl w:ilvl="0" w:tplc="BA4EB33A">
      <w:start w:val="1"/>
      <w:numFmt w:val="lowerLetter"/>
      <w:lvlText w:val="%1."/>
      <w:lvlJc w:val="left"/>
      <w:pPr>
        <w:ind w:left="45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F17BA5"/>
    <w:multiLevelType w:val="hybridMultilevel"/>
    <w:tmpl w:val="6628A87E"/>
    <w:lvl w:ilvl="0" w:tplc="66C628E0">
      <w:start w:val="1"/>
      <w:numFmt w:val="decimal"/>
      <w:lvlText w:val="%1."/>
      <w:lvlJc w:val="left"/>
      <w:pPr>
        <w:tabs>
          <w:tab w:val="num" w:pos="720"/>
        </w:tabs>
        <w:ind w:left="720" w:hanging="360"/>
      </w:pPr>
    </w:lvl>
    <w:lvl w:ilvl="1" w:tplc="8CF88048" w:tentative="1">
      <w:start w:val="1"/>
      <w:numFmt w:val="decimal"/>
      <w:lvlText w:val="%2."/>
      <w:lvlJc w:val="left"/>
      <w:pPr>
        <w:tabs>
          <w:tab w:val="num" w:pos="1440"/>
        </w:tabs>
        <w:ind w:left="1440" w:hanging="360"/>
      </w:pPr>
    </w:lvl>
    <w:lvl w:ilvl="2" w:tplc="EB6C5650" w:tentative="1">
      <w:start w:val="1"/>
      <w:numFmt w:val="decimal"/>
      <w:lvlText w:val="%3."/>
      <w:lvlJc w:val="left"/>
      <w:pPr>
        <w:tabs>
          <w:tab w:val="num" w:pos="2160"/>
        </w:tabs>
        <w:ind w:left="2160" w:hanging="360"/>
      </w:pPr>
    </w:lvl>
    <w:lvl w:ilvl="3" w:tplc="CF3AA24E" w:tentative="1">
      <w:start w:val="1"/>
      <w:numFmt w:val="decimal"/>
      <w:lvlText w:val="%4."/>
      <w:lvlJc w:val="left"/>
      <w:pPr>
        <w:tabs>
          <w:tab w:val="num" w:pos="2880"/>
        </w:tabs>
        <w:ind w:left="2880" w:hanging="360"/>
      </w:pPr>
    </w:lvl>
    <w:lvl w:ilvl="4" w:tplc="38A226B2" w:tentative="1">
      <w:start w:val="1"/>
      <w:numFmt w:val="decimal"/>
      <w:lvlText w:val="%5."/>
      <w:lvlJc w:val="left"/>
      <w:pPr>
        <w:tabs>
          <w:tab w:val="num" w:pos="3600"/>
        </w:tabs>
        <w:ind w:left="3600" w:hanging="360"/>
      </w:pPr>
    </w:lvl>
    <w:lvl w:ilvl="5" w:tplc="0416F7F8" w:tentative="1">
      <w:start w:val="1"/>
      <w:numFmt w:val="decimal"/>
      <w:lvlText w:val="%6."/>
      <w:lvlJc w:val="left"/>
      <w:pPr>
        <w:tabs>
          <w:tab w:val="num" w:pos="4320"/>
        </w:tabs>
        <w:ind w:left="4320" w:hanging="360"/>
      </w:pPr>
    </w:lvl>
    <w:lvl w:ilvl="6" w:tplc="8144A014" w:tentative="1">
      <w:start w:val="1"/>
      <w:numFmt w:val="decimal"/>
      <w:lvlText w:val="%7."/>
      <w:lvlJc w:val="left"/>
      <w:pPr>
        <w:tabs>
          <w:tab w:val="num" w:pos="5040"/>
        </w:tabs>
        <w:ind w:left="5040" w:hanging="360"/>
      </w:pPr>
    </w:lvl>
    <w:lvl w:ilvl="7" w:tplc="8EC23248" w:tentative="1">
      <w:start w:val="1"/>
      <w:numFmt w:val="decimal"/>
      <w:lvlText w:val="%8."/>
      <w:lvlJc w:val="left"/>
      <w:pPr>
        <w:tabs>
          <w:tab w:val="num" w:pos="5760"/>
        </w:tabs>
        <w:ind w:left="5760" w:hanging="360"/>
      </w:pPr>
    </w:lvl>
    <w:lvl w:ilvl="8" w:tplc="5F70E98E" w:tentative="1">
      <w:start w:val="1"/>
      <w:numFmt w:val="decimal"/>
      <w:lvlText w:val="%9."/>
      <w:lvlJc w:val="left"/>
      <w:pPr>
        <w:tabs>
          <w:tab w:val="num" w:pos="6480"/>
        </w:tabs>
        <w:ind w:left="6480" w:hanging="360"/>
      </w:pPr>
    </w:lvl>
  </w:abstractNum>
  <w:abstractNum w:abstractNumId="9" w15:restartNumberingAfterBreak="0">
    <w:nsid w:val="11F5121F"/>
    <w:multiLevelType w:val="hybridMultilevel"/>
    <w:tmpl w:val="2F90315C"/>
    <w:lvl w:ilvl="0" w:tplc="34090001">
      <w:start w:val="1"/>
      <w:numFmt w:val="bullet"/>
      <w:lvlText w:val=""/>
      <w:lvlJc w:val="left"/>
      <w:pPr>
        <w:ind w:left="720" w:hanging="360"/>
      </w:pPr>
      <w:rPr>
        <w:rFonts w:ascii="Symbol" w:hAnsi="Symbol" w:hint="default"/>
      </w:rPr>
    </w:lvl>
    <w:lvl w:ilvl="1" w:tplc="34090001">
      <w:start w:val="1"/>
      <w:numFmt w:val="bullet"/>
      <w:lvlText w:val=""/>
      <w:lvlJc w:val="left"/>
      <w:pPr>
        <w:ind w:left="1440" w:hanging="360"/>
      </w:pPr>
      <w:rPr>
        <w:rFonts w:ascii="Symbol" w:hAnsi="Symbol"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162B2B30"/>
    <w:multiLevelType w:val="hybridMultilevel"/>
    <w:tmpl w:val="55D659F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9034B22"/>
    <w:multiLevelType w:val="hybridMultilevel"/>
    <w:tmpl w:val="E32835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19D0672E"/>
    <w:multiLevelType w:val="hybridMultilevel"/>
    <w:tmpl w:val="3A427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5"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11C67CD"/>
    <w:multiLevelType w:val="hybridMultilevel"/>
    <w:tmpl w:val="35E283B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18" w15:restartNumberingAfterBreak="0">
    <w:nsid w:val="22D74401"/>
    <w:multiLevelType w:val="hybridMultilevel"/>
    <w:tmpl w:val="921E2666"/>
    <w:lvl w:ilvl="0" w:tplc="34090001">
      <w:start w:val="1"/>
      <w:numFmt w:val="bullet"/>
      <w:lvlText w:val=""/>
      <w:lvlJc w:val="left"/>
      <w:pPr>
        <w:ind w:left="1170" w:hanging="360"/>
      </w:pPr>
      <w:rPr>
        <w:rFonts w:ascii="Symbol" w:hAnsi="Symbol" w:hint="default"/>
      </w:rPr>
    </w:lvl>
    <w:lvl w:ilvl="1" w:tplc="34090003" w:tentative="1">
      <w:start w:val="1"/>
      <w:numFmt w:val="bullet"/>
      <w:lvlText w:val="o"/>
      <w:lvlJc w:val="left"/>
      <w:pPr>
        <w:ind w:left="1890" w:hanging="360"/>
      </w:pPr>
      <w:rPr>
        <w:rFonts w:ascii="Courier New" w:hAnsi="Courier New" w:cs="Courier New" w:hint="default"/>
      </w:rPr>
    </w:lvl>
    <w:lvl w:ilvl="2" w:tplc="34090005" w:tentative="1">
      <w:start w:val="1"/>
      <w:numFmt w:val="bullet"/>
      <w:lvlText w:val=""/>
      <w:lvlJc w:val="left"/>
      <w:pPr>
        <w:ind w:left="2610" w:hanging="360"/>
      </w:pPr>
      <w:rPr>
        <w:rFonts w:ascii="Wingdings" w:hAnsi="Wingdings" w:hint="default"/>
      </w:rPr>
    </w:lvl>
    <w:lvl w:ilvl="3" w:tplc="34090001" w:tentative="1">
      <w:start w:val="1"/>
      <w:numFmt w:val="bullet"/>
      <w:lvlText w:val=""/>
      <w:lvlJc w:val="left"/>
      <w:pPr>
        <w:ind w:left="3330" w:hanging="360"/>
      </w:pPr>
      <w:rPr>
        <w:rFonts w:ascii="Symbol" w:hAnsi="Symbol" w:hint="default"/>
      </w:rPr>
    </w:lvl>
    <w:lvl w:ilvl="4" w:tplc="34090003" w:tentative="1">
      <w:start w:val="1"/>
      <w:numFmt w:val="bullet"/>
      <w:lvlText w:val="o"/>
      <w:lvlJc w:val="left"/>
      <w:pPr>
        <w:ind w:left="4050" w:hanging="360"/>
      </w:pPr>
      <w:rPr>
        <w:rFonts w:ascii="Courier New" w:hAnsi="Courier New" w:cs="Courier New" w:hint="default"/>
      </w:rPr>
    </w:lvl>
    <w:lvl w:ilvl="5" w:tplc="34090005" w:tentative="1">
      <w:start w:val="1"/>
      <w:numFmt w:val="bullet"/>
      <w:lvlText w:val=""/>
      <w:lvlJc w:val="left"/>
      <w:pPr>
        <w:ind w:left="4770" w:hanging="360"/>
      </w:pPr>
      <w:rPr>
        <w:rFonts w:ascii="Wingdings" w:hAnsi="Wingdings" w:hint="default"/>
      </w:rPr>
    </w:lvl>
    <w:lvl w:ilvl="6" w:tplc="34090001" w:tentative="1">
      <w:start w:val="1"/>
      <w:numFmt w:val="bullet"/>
      <w:lvlText w:val=""/>
      <w:lvlJc w:val="left"/>
      <w:pPr>
        <w:ind w:left="5490" w:hanging="360"/>
      </w:pPr>
      <w:rPr>
        <w:rFonts w:ascii="Symbol" w:hAnsi="Symbol" w:hint="default"/>
      </w:rPr>
    </w:lvl>
    <w:lvl w:ilvl="7" w:tplc="34090003" w:tentative="1">
      <w:start w:val="1"/>
      <w:numFmt w:val="bullet"/>
      <w:lvlText w:val="o"/>
      <w:lvlJc w:val="left"/>
      <w:pPr>
        <w:ind w:left="6210" w:hanging="360"/>
      </w:pPr>
      <w:rPr>
        <w:rFonts w:ascii="Courier New" w:hAnsi="Courier New" w:cs="Courier New" w:hint="default"/>
      </w:rPr>
    </w:lvl>
    <w:lvl w:ilvl="8" w:tplc="34090005" w:tentative="1">
      <w:start w:val="1"/>
      <w:numFmt w:val="bullet"/>
      <w:lvlText w:val=""/>
      <w:lvlJc w:val="left"/>
      <w:pPr>
        <w:ind w:left="6930" w:hanging="360"/>
      </w:pPr>
      <w:rPr>
        <w:rFonts w:ascii="Wingdings" w:hAnsi="Wingdings" w:hint="default"/>
      </w:rPr>
    </w:lvl>
  </w:abstractNum>
  <w:abstractNum w:abstractNumId="19" w15:restartNumberingAfterBreak="0">
    <w:nsid w:val="23534EF9"/>
    <w:multiLevelType w:val="hybridMultilevel"/>
    <w:tmpl w:val="B442D29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25183152"/>
    <w:multiLevelType w:val="hybridMultilevel"/>
    <w:tmpl w:val="DADCCD74"/>
    <w:lvl w:ilvl="0" w:tplc="884A21D2">
      <w:start w:val="1"/>
      <w:numFmt w:val="lowerLetter"/>
      <w:lvlText w:val="%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2E775460"/>
    <w:multiLevelType w:val="hybridMultilevel"/>
    <w:tmpl w:val="748C94D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30492138"/>
    <w:multiLevelType w:val="hybridMultilevel"/>
    <w:tmpl w:val="7F42ABC8"/>
    <w:lvl w:ilvl="0" w:tplc="884A21D2">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349A3A55"/>
    <w:multiLevelType w:val="hybridMultilevel"/>
    <w:tmpl w:val="60A0673A"/>
    <w:lvl w:ilvl="0" w:tplc="BD946DBE">
      <w:start w:val="1"/>
      <w:numFmt w:val="lowerLetter"/>
      <w:lvlText w:val="%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26" w15:restartNumberingAfterBreak="0">
    <w:nsid w:val="3929193A"/>
    <w:multiLevelType w:val="hybridMultilevel"/>
    <w:tmpl w:val="66C63348"/>
    <w:lvl w:ilvl="0" w:tplc="04090019">
      <w:start w:val="1"/>
      <w:numFmt w:val="lowerLetter"/>
      <w:lvlText w:val="%1."/>
      <w:lvlJc w:val="left"/>
      <w:pPr>
        <w:ind w:left="720" w:hanging="360"/>
      </w:pPr>
      <w:rPr>
        <w:rFonts w:eastAsia="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CBD6CC7"/>
    <w:multiLevelType w:val="hybridMultilevel"/>
    <w:tmpl w:val="1DF0CB0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3D372FE9"/>
    <w:multiLevelType w:val="hybridMultilevel"/>
    <w:tmpl w:val="AFAE4580"/>
    <w:lvl w:ilvl="0" w:tplc="BA4EB33A">
      <w:start w:val="1"/>
      <w:numFmt w:val="lowerLetter"/>
      <w:lvlText w:val="%1."/>
      <w:lvlJc w:val="left"/>
      <w:pPr>
        <w:ind w:left="45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27673FC"/>
    <w:multiLevelType w:val="multilevel"/>
    <w:tmpl w:val="7AAEEF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5C143FD"/>
    <w:multiLevelType w:val="hybridMultilevel"/>
    <w:tmpl w:val="DADCCD74"/>
    <w:lvl w:ilvl="0" w:tplc="884A21D2">
      <w:start w:val="1"/>
      <w:numFmt w:val="lowerLetter"/>
      <w:lvlText w:val="%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35" w15:restartNumberingAfterBreak="0">
    <w:nsid w:val="4C5E6927"/>
    <w:multiLevelType w:val="hybridMultilevel"/>
    <w:tmpl w:val="D0AAA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DC2445B"/>
    <w:multiLevelType w:val="hybridMultilevel"/>
    <w:tmpl w:val="18FCC3E2"/>
    <w:lvl w:ilvl="0" w:tplc="0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4EEF7986"/>
    <w:multiLevelType w:val="hybridMultilevel"/>
    <w:tmpl w:val="2A3CC0D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39" w15:restartNumberingAfterBreak="0">
    <w:nsid w:val="50811E13"/>
    <w:multiLevelType w:val="hybridMultilevel"/>
    <w:tmpl w:val="304C18D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15:restartNumberingAfterBreak="0">
    <w:nsid w:val="52A70AB1"/>
    <w:multiLevelType w:val="hybridMultilevel"/>
    <w:tmpl w:val="8ED62B8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15:restartNumberingAfterBreak="0">
    <w:nsid w:val="5B756D39"/>
    <w:multiLevelType w:val="hybridMultilevel"/>
    <w:tmpl w:val="E292B944"/>
    <w:lvl w:ilvl="0" w:tplc="1C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3"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64515051"/>
    <w:multiLevelType w:val="hybridMultilevel"/>
    <w:tmpl w:val="D3308B4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5" w15:restartNumberingAfterBreak="0">
    <w:nsid w:val="65274DEE"/>
    <w:multiLevelType w:val="hybridMultilevel"/>
    <w:tmpl w:val="680068A6"/>
    <w:lvl w:ilvl="0" w:tplc="0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6" w15:restartNumberingAfterBreak="0">
    <w:nsid w:val="65C864CD"/>
    <w:multiLevelType w:val="hybridMultilevel"/>
    <w:tmpl w:val="E30CE4DC"/>
    <w:lvl w:ilvl="0" w:tplc="2462135E">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6F76270"/>
    <w:multiLevelType w:val="hybridMultilevel"/>
    <w:tmpl w:val="60A0673A"/>
    <w:lvl w:ilvl="0" w:tplc="BD946DBE">
      <w:start w:val="1"/>
      <w:numFmt w:val="lowerLetter"/>
      <w:lvlText w:val="%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688F06AD"/>
    <w:multiLevelType w:val="hybridMultilevel"/>
    <w:tmpl w:val="373450E4"/>
    <w:lvl w:ilvl="0" w:tplc="9FE0D274">
      <w:start w:val="1"/>
      <w:numFmt w:val="decimal"/>
      <w:lvlText w:val="%1."/>
      <w:lvlJc w:val="left"/>
      <w:pPr>
        <w:ind w:left="6390" w:hanging="360"/>
      </w:pPr>
      <w:rPr>
        <w:rFonts w:hint="default"/>
      </w:rPr>
    </w:lvl>
    <w:lvl w:ilvl="1" w:tplc="34090019" w:tentative="1">
      <w:start w:val="1"/>
      <w:numFmt w:val="lowerLetter"/>
      <w:lvlText w:val="%2."/>
      <w:lvlJc w:val="left"/>
      <w:pPr>
        <w:ind w:left="7110" w:hanging="360"/>
      </w:pPr>
    </w:lvl>
    <w:lvl w:ilvl="2" w:tplc="3409001B" w:tentative="1">
      <w:start w:val="1"/>
      <w:numFmt w:val="lowerRoman"/>
      <w:lvlText w:val="%3."/>
      <w:lvlJc w:val="right"/>
      <w:pPr>
        <w:ind w:left="7830" w:hanging="180"/>
      </w:pPr>
    </w:lvl>
    <w:lvl w:ilvl="3" w:tplc="3409000F" w:tentative="1">
      <w:start w:val="1"/>
      <w:numFmt w:val="decimal"/>
      <w:lvlText w:val="%4."/>
      <w:lvlJc w:val="left"/>
      <w:pPr>
        <w:ind w:left="8550" w:hanging="360"/>
      </w:pPr>
    </w:lvl>
    <w:lvl w:ilvl="4" w:tplc="34090019" w:tentative="1">
      <w:start w:val="1"/>
      <w:numFmt w:val="lowerLetter"/>
      <w:lvlText w:val="%5."/>
      <w:lvlJc w:val="left"/>
      <w:pPr>
        <w:ind w:left="9270" w:hanging="360"/>
      </w:pPr>
    </w:lvl>
    <w:lvl w:ilvl="5" w:tplc="3409001B" w:tentative="1">
      <w:start w:val="1"/>
      <w:numFmt w:val="lowerRoman"/>
      <w:lvlText w:val="%6."/>
      <w:lvlJc w:val="right"/>
      <w:pPr>
        <w:ind w:left="9990" w:hanging="180"/>
      </w:pPr>
    </w:lvl>
    <w:lvl w:ilvl="6" w:tplc="3409000F" w:tentative="1">
      <w:start w:val="1"/>
      <w:numFmt w:val="decimal"/>
      <w:lvlText w:val="%7."/>
      <w:lvlJc w:val="left"/>
      <w:pPr>
        <w:ind w:left="10710" w:hanging="360"/>
      </w:pPr>
    </w:lvl>
    <w:lvl w:ilvl="7" w:tplc="34090019" w:tentative="1">
      <w:start w:val="1"/>
      <w:numFmt w:val="lowerLetter"/>
      <w:lvlText w:val="%8."/>
      <w:lvlJc w:val="left"/>
      <w:pPr>
        <w:ind w:left="11430" w:hanging="360"/>
      </w:pPr>
    </w:lvl>
    <w:lvl w:ilvl="8" w:tplc="3409001B" w:tentative="1">
      <w:start w:val="1"/>
      <w:numFmt w:val="lowerRoman"/>
      <w:lvlText w:val="%9."/>
      <w:lvlJc w:val="right"/>
      <w:pPr>
        <w:ind w:left="12150" w:hanging="180"/>
      </w:pPr>
    </w:lvl>
  </w:abstractNum>
  <w:abstractNum w:abstractNumId="50" w15:restartNumberingAfterBreak="0">
    <w:nsid w:val="69D14F50"/>
    <w:multiLevelType w:val="hybridMultilevel"/>
    <w:tmpl w:val="D5C21964"/>
    <w:lvl w:ilvl="0" w:tplc="A3F6A1C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FD63C78"/>
    <w:multiLevelType w:val="hybridMultilevel"/>
    <w:tmpl w:val="30AA37D4"/>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53"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73500BAE"/>
    <w:multiLevelType w:val="hybridMultilevel"/>
    <w:tmpl w:val="1C2898F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75E80489"/>
    <w:multiLevelType w:val="hybridMultilevel"/>
    <w:tmpl w:val="60A0673A"/>
    <w:lvl w:ilvl="0" w:tplc="BD946DBE">
      <w:start w:val="1"/>
      <w:numFmt w:val="lowerLetter"/>
      <w:lvlText w:val="%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77CB7A72"/>
    <w:multiLevelType w:val="hybridMultilevel"/>
    <w:tmpl w:val="878A5244"/>
    <w:lvl w:ilvl="0" w:tplc="662C1174">
      <w:start w:val="1"/>
      <w:numFmt w:val="decimal"/>
      <w:lvlText w:val="%1."/>
      <w:lvlJc w:val="left"/>
      <w:pPr>
        <w:tabs>
          <w:tab w:val="num" w:pos="720"/>
        </w:tabs>
        <w:ind w:left="720" w:hanging="360"/>
      </w:pPr>
    </w:lvl>
    <w:lvl w:ilvl="1" w:tplc="FFCAA666" w:tentative="1">
      <w:start w:val="1"/>
      <w:numFmt w:val="decimal"/>
      <w:lvlText w:val="%2."/>
      <w:lvlJc w:val="left"/>
      <w:pPr>
        <w:tabs>
          <w:tab w:val="num" w:pos="1440"/>
        </w:tabs>
        <w:ind w:left="1440" w:hanging="360"/>
      </w:pPr>
    </w:lvl>
    <w:lvl w:ilvl="2" w:tplc="3288F698" w:tentative="1">
      <w:start w:val="1"/>
      <w:numFmt w:val="decimal"/>
      <w:lvlText w:val="%3."/>
      <w:lvlJc w:val="left"/>
      <w:pPr>
        <w:tabs>
          <w:tab w:val="num" w:pos="2160"/>
        </w:tabs>
        <w:ind w:left="2160" w:hanging="360"/>
      </w:pPr>
    </w:lvl>
    <w:lvl w:ilvl="3" w:tplc="ED5470DC" w:tentative="1">
      <w:start w:val="1"/>
      <w:numFmt w:val="decimal"/>
      <w:lvlText w:val="%4."/>
      <w:lvlJc w:val="left"/>
      <w:pPr>
        <w:tabs>
          <w:tab w:val="num" w:pos="2880"/>
        </w:tabs>
        <w:ind w:left="2880" w:hanging="360"/>
      </w:pPr>
    </w:lvl>
    <w:lvl w:ilvl="4" w:tplc="32BE02C4" w:tentative="1">
      <w:start w:val="1"/>
      <w:numFmt w:val="decimal"/>
      <w:lvlText w:val="%5."/>
      <w:lvlJc w:val="left"/>
      <w:pPr>
        <w:tabs>
          <w:tab w:val="num" w:pos="3600"/>
        </w:tabs>
        <w:ind w:left="3600" w:hanging="360"/>
      </w:pPr>
    </w:lvl>
    <w:lvl w:ilvl="5" w:tplc="8786AF64" w:tentative="1">
      <w:start w:val="1"/>
      <w:numFmt w:val="decimal"/>
      <w:lvlText w:val="%6."/>
      <w:lvlJc w:val="left"/>
      <w:pPr>
        <w:tabs>
          <w:tab w:val="num" w:pos="4320"/>
        </w:tabs>
        <w:ind w:left="4320" w:hanging="360"/>
      </w:pPr>
    </w:lvl>
    <w:lvl w:ilvl="6" w:tplc="0578102E" w:tentative="1">
      <w:start w:val="1"/>
      <w:numFmt w:val="decimal"/>
      <w:lvlText w:val="%7."/>
      <w:lvlJc w:val="left"/>
      <w:pPr>
        <w:tabs>
          <w:tab w:val="num" w:pos="5040"/>
        </w:tabs>
        <w:ind w:left="5040" w:hanging="360"/>
      </w:pPr>
    </w:lvl>
    <w:lvl w:ilvl="7" w:tplc="0D66862A" w:tentative="1">
      <w:start w:val="1"/>
      <w:numFmt w:val="decimal"/>
      <w:lvlText w:val="%8."/>
      <w:lvlJc w:val="left"/>
      <w:pPr>
        <w:tabs>
          <w:tab w:val="num" w:pos="5760"/>
        </w:tabs>
        <w:ind w:left="5760" w:hanging="360"/>
      </w:pPr>
    </w:lvl>
    <w:lvl w:ilvl="8" w:tplc="6FEA02AC" w:tentative="1">
      <w:start w:val="1"/>
      <w:numFmt w:val="decimal"/>
      <w:lvlText w:val="%9."/>
      <w:lvlJc w:val="left"/>
      <w:pPr>
        <w:tabs>
          <w:tab w:val="num" w:pos="6480"/>
        </w:tabs>
        <w:ind w:left="6480" w:hanging="360"/>
      </w:pPr>
    </w:lvl>
  </w:abstractNum>
  <w:abstractNum w:abstractNumId="57"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58"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59" w15:restartNumberingAfterBreak="0">
    <w:nsid w:val="7F150F0D"/>
    <w:multiLevelType w:val="hybridMultilevel"/>
    <w:tmpl w:val="4A7A87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FE2427C"/>
    <w:multiLevelType w:val="hybridMultilevel"/>
    <w:tmpl w:val="9822B7C2"/>
    <w:lvl w:ilvl="0" w:tplc="A3F6A1C8">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5"/>
  </w:num>
  <w:num w:numId="2">
    <w:abstractNumId w:val="34"/>
  </w:num>
  <w:num w:numId="3">
    <w:abstractNumId w:val="53"/>
  </w:num>
  <w:num w:numId="4">
    <w:abstractNumId w:val="42"/>
  </w:num>
  <w:num w:numId="5">
    <w:abstractNumId w:val="47"/>
  </w:num>
  <w:num w:numId="6">
    <w:abstractNumId w:val="14"/>
  </w:num>
  <w:num w:numId="7">
    <w:abstractNumId w:val="5"/>
  </w:num>
  <w:num w:numId="8">
    <w:abstractNumId w:val="58"/>
  </w:num>
  <w:num w:numId="9">
    <w:abstractNumId w:val="57"/>
  </w:num>
  <w:num w:numId="10">
    <w:abstractNumId w:val="43"/>
  </w:num>
  <w:num w:numId="11">
    <w:abstractNumId w:val="38"/>
  </w:num>
  <w:num w:numId="12">
    <w:abstractNumId w:val="12"/>
  </w:num>
  <w:num w:numId="13">
    <w:abstractNumId w:val="30"/>
  </w:num>
  <w:num w:numId="14">
    <w:abstractNumId w:val="25"/>
  </w:num>
  <w:num w:numId="15">
    <w:abstractNumId w:val="17"/>
  </w:num>
  <w:num w:numId="16">
    <w:abstractNumId w:val="27"/>
  </w:num>
  <w:num w:numId="17">
    <w:abstractNumId w:val="51"/>
  </w:num>
  <w:num w:numId="18">
    <w:abstractNumId w:val="52"/>
  </w:num>
  <w:num w:numId="19">
    <w:abstractNumId w:val="21"/>
  </w:num>
  <w:num w:numId="20">
    <w:abstractNumId w:val="33"/>
  </w:num>
  <w:num w:numId="21">
    <w:abstractNumId w:val="13"/>
  </w:num>
  <w:num w:numId="22">
    <w:abstractNumId w:val="28"/>
  </w:num>
  <w:num w:numId="23">
    <w:abstractNumId w:val="31"/>
  </w:num>
  <w:num w:numId="24">
    <w:abstractNumId w:val="37"/>
  </w:num>
  <w:num w:numId="25">
    <w:abstractNumId w:val="49"/>
  </w:num>
  <w:num w:numId="26">
    <w:abstractNumId w:val="35"/>
  </w:num>
  <w:num w:numId="27">
    <w:abstractNumId w:val="29"/>
  </w:num>
  <w:num w:numId="28">
    <w:abstractNumId w:val="26"/>
  </w:num>
  <w:num w:numId="29">
    <w:abstractNumId w:val="41"/>
  </w:num>
  <w:num w:numId="30">
    <w:abstractNumId w:val="56"/>
  </w:num>
  <w:num w:numId="31">
    <w:abstractNumId w:val="8"/>
  </w:num>
  <w:num w:numId="32">
    <w:abstractNumId w:val="40"/>
  </w:num>
  <w:num w:numId="33">
    <w:abstractNumId w:val="2"/>
  </w:num>
  <w:num w:numId="34">
    <w:abstractNumId w:val="18"/>
  </w:num>
  <w:num w:numId="35">
    <w:abstractNumId w:val="6"/>
  </w:num>
  <w:num w:numId="36">
    <w:abstractNumId w:val="54"/>
  </w:num>
  <w:num w:numId="37">
    <w:abstractNumId w:val="7"/>
  </w:num>
  <w:num w:numId="38">
    <w:abstractNumId w:val="4"/>
  </w:num>
  <w:num w:numId="39">
    <w:abstractNumId w:val="1"/>
  </w:num>
  <w:num w:numId="40">
    <w:abstractNumId w:val="11"/>
  </w:num>
  <w:num w:numId="41">
    <w:abstractNumId w:val="0"/>
  </w:num>
  <w:num w:numId="42">
    <w:abstractNumId w:val="10"/>
  </w:num>
  <w:num w:numId="43">
    <w:abstractNumId w:val="16"/>
  </w:num>
  <w:num w:numId="44">
    <w:abstractNumId w:val="60"/>
  </w:num>
  <w:num w:numId="45">
    <w:abstractNumId w:val="39"/>
  </w:num>
  <w:num w:numId="46">
    <w:abstractNumId w:val="50"/>
  </w:num>
  <w:num w:numId="47">
    <w:abstractNumId w:val="20"/>
  </w:num>
  <w:num w:numId="48">
    <w:abstractNumId w:val="3"/>
  </w:num>
  <w:num w:numId="49">
    <w:abstractNumId w:val="46"/>
  </w:num>
  <w:num w:numId="50">
    <w:abstractNumId w:val="9"/>
  </w:num>
  <w:num w:numId="51">
    <w:abstractNumId w:val="22"/>
  </w:num>
  <w:num w:numId="52">
    <w:abstractNumId w:val="44"/>
  </w:num>
  <w:num w:numId="53">
    <w:abstractNumId w:val="24"/>
  </w:num>
  <w:num w:numId="54">
    <w:abstractNumId w:val="48"/>
  </w:num>
  <w:num w:numId="55">
    <w:abstractNumId w:val="59"/>
  </w:num>
  <w:num w:numId="56">
    <w:abstractNumId w:val="55"/>
  </w:num>
  <w:num w:numId="57">
    <w:abstractNumId w:val="36"/>
  </w:num>
  <w:num w:numId="58">
    <w:abstractNumId w:val="19"/>
  </w:num>
  <w:num w:numId="59">
    <w:abstractNumId w:val="45"/>
  </w:num>
  <w:num w:numId="60">
    <w:abstractNumId w:val="32"/>
  </w:num>
  <w:num w:numId="61">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D"/>
    <w:rsid w:val="000021B3"/>
    <w:rsid w:val="000026E2"/>
    <w:rsid w:val="00006A45"/>
    <w:rsid w:val="00010072"/>
    <w:rsid w:val="0001369B"/>
    <w:rsid w:val="00015029"/>
    <w:rsid w:val="00025FA0"/>
    <w:rsid w:val="00030970"/>
    <w:rsid w:val="00031B57"/>
    <w:rsid w:val="000339F4"/>
    <w:rsid w:val="0003491F"/>
    <w:rsid w:val="000506EB"/>
    <w:rsid w:val="00055CA3"/>
    <w:rsid w:val="000808AF"/>
    <w:rsid w:val="00084F50"/>
    <w:rsid w:val="0008701A"/>
    <w:rsid w:val="00090F03"/>
    <w:rsid w:val="00092981"/>
    <w:rsid w:val="00096045"/>
    <w:rsid w:val="0009732C"/>
    <w:rsid w:val="000A0CF7"/>
    <w:rsid w:val="000C1278"/>
    <w:rsid w:val="000C580B"/>
    <w:rsid w:val="000C74ED"/>
    <w:rsid w:val="000E0F6E"/>
    <w:rsid w:val="000E3C39"/>
    <w:rsid w:val="000E5E94"/>
    <w:rsid w:val="000F2837"/>
    <w:rsid w:val="000F28DB"/>
    <w:rsid w:val="0011104F"/>
    <w:rsid w:val="0011738C"/>
    <w:rsid w:val="00120DD5"/>
    <w:rsid w:val="001246DB"/>
    <w:rsid w:val="001279E6"/>
    <w:rsid w:val="00130036"/>
    <w:rsid w:val="00135BDD"/>
    <w:rsid w:val="00141E4B"/>
    <w:rsid w:val="00144E9E"/>
    <w:rsid w:val="00145F98"/>
    <w:rsid w:val="00146A0C"/>
    <w:rsid w:val="0015101D"/>
    <w:rsid w:val="0015163A"/>
    <w:rsid w:val="00152971"/>
    <w:rsid w:val="00170E74"/>
    <w:rsid w:val="0018066D"/>
    <w:rsid w:val="00182571"/>
    <w:rsid w:val="00185E9E"/>
    <w:rsid w:val="00186087"/>
    <w:rsid w:val="0018779A"/>
    <w:rsid w:val="00194782"/>
    <w:rsid w:val="00195C44"/>
    <w:rsid w:val="001A0B29"/>
    <w:rsid w:val="001A0F96"/>
    <w:rsid w:val="001A43F7"/>
    <w:rsid w:val="001A5B92"/>
    <w:rsid w:val="001A70A5"/>
    <w:rsid w:val="001B0826"/>
    <w:rsid w:val="001D45E6"/>
    <w:rsid w:val="001E35C3"/>
    <w:rsid w:val="001E4BA8"/>
    <w:rsid w:val="001E772E"/>
    <w:rsid w:val="001F3ED5"/>
    <w:rsid w:val="001F41FA"/>
    <w:rsid w:val="001F4EE1"/>
    <w:rsid w:val="002019FD"/>
    <w:rsid w:val="00203986"/>
    <w:rsid w:val="00207A3D"/>
    <w:rsid w:val="002328CF"/>
    <w:rsid w:val="00233229"/>
    <w:rsid w:val="002438F6"/>
    <w:rsid w:val="00244B0C"/>
    <w:rsid w:val="002476A0"/>
    <w:rsid w:val="0024786A"/>
    <w:rsid w:val="002736C2"/>
    <w:rsid w:val="00273C4F"/>
    <w:rsid w:val="00275B64"/>
    <w:rsid w:val="002818DC"/>
    <w:rsid w:val="00286F0D"/>
    <w:rsid w:val="00297BFB"/>
    <w:rsid w:val="002A2AA4"/>
    <w:rsid w:val="002A3B9C"/>
    <w:rsid w:val="002A4F51"/>
    <w:rsid w:val="002A621D"/>
    <w:rsid w:val="002A7A69"/>
    <w:rsid w:val="002B1B91"/>
    <w:rsid w:val="002C3693"/>
    <w:rsid w:val="002C46E1"/>
    <w:rsid w:val="002E22F9"/>
    <w:rsid w:val="002E2768"/>
    <w:rsid w:val="002E2F4D"/>
    <w:rsid w:val="002E61CF"/>
    <w:rsid w:val="002F2276"/>
    <w:rsid w:val="0031093D"/>
    <w:rsid w:val="00322A66"/>
    <w:rsid w:val="00324F71"/>
    <w:rsid w:val="00325048"/>
    <w:rsid w:val="00327E05"/>
    <w:rsid w:val="00342FD2"/>
    <w:rsid w:val="003445F8"/>
    <w:rsid w:val="00344C42"/>
    <w:rsid w:val="00354D00"/>
    <w:rsid w:val="0035790F"/>
    <w:rsid w:val="00384960"/>
    <w:rsid w:val="00396FB5"/>
    <w:rsid w:val="003A0928"/>
    <w:rsid w:val="003A146B"/>
    <w:rsid w:val="003A1998"/>
    <w:rsid w:val="003A55C8"/>
    <w:rsid w:val="003B2CF8"/>
    <w:rsid w:val="003B40F2"/>
    <w:rsid w:val="003C05B0"/>
    <w:rsid w:val="003C0ADB"/>
    <w:rsid w:val="003D0146"/>
    <w:rsid w:val="003D4F33"/>
    <w:rsid w:val="003D6FA1"/>
    <w:rsid w:val="003E6EF6"/>
    <w:rsid w:val="003F1D52"/>
    <w:rsid w:val="003F1F75"/>
    <w:rsid w:val="003F2610"/>
    <w:rsid w:val="003F6B90"/>
    <w:rsid w:val="0040019C"/>
    <w:rsid w:val="004031BB"/>
    <w:rsid w:val="00417BD9"/>
    <w:rsid w:val="004208AF"/>
    <w:rsid w:val="0042462E"/>
    <w:rsid w:val="00427EBE"/>
    <w:rsid w:val="004362FD"/>
    <w:rsid w:val="00437483"/>
    <w:rsid w:val="00437AA8"/>
    <w:rsid w:val="00444D74"/>
    <w:rsid w:val="00445198"/>
    <w:rsid w:val="00450604"/>
    <w:rsid w:val="00450B7A"/>
    <w:rsid w:val="00455150"/>
    <w:rsid w:val="00460159"/>
    <w:rsid w:val="004609E4"/>
    <w:rsid w:val="0046610B"/>
    <w:rsid w:val="00470D1A"/>
    <w:rsid w:val="0048631F"/>
    <w:rsid w:val="00496717"/>
    <w:rsid w:val="004A5464"/>
    <w:rsid w:val="004B67E0"/>
    <w:rsid w:val="004C0402"/>
    <w:rsid w:val="004C1AD5"/>
    <w:rsid w:val="004D0C9F"/>
    <w:rsid w:val="004D4F14"/>
    <w:rsid w:val="004F1525"/>
    <w:rsid w:val="004F162D"/>
    <w:rsid w:val="004F1707"/>
    <w:rsid w:val="004F3993"/>
    <w:rsid w:val="005036D7"/>
    <w:rsid w:val="005062A7"/>
    <w:rsid w:val="00513119"/>
    <w:rsid w:val="00513933"/>
    <w:rsid w:val="0051694B"/>
    <w:rsid w:val="00521528"/>
    <w:rsid w:val="0053069F"/>
    <w:rsid w:val="00531C20"/>
    <w:rsid w:val="005369B5"/>
    <w:rsid w:val="00537C51"/>
    <w:rsid w:val="00546B14"/>
    <w:rsid w:val="00550565"/>
    <w:rsid w:val="005613FC"/>
    <w:rsid w:val="00570B9D"/>
    <w:rsid w:val="00581A25"/>
    <w:rsid w:val="005A75CA"/>
    <w:rsid w:val="005B518D"/>
    <w:rsid w:val="005C33D9"/>
    <w:rsid w:val="005C692F"/>
    <w:rsid w:val="005D18E1"/>
    <w:rsid w:val="005D31D2"/>
    <w:rsid w:val="005D3D0B"/>
    <w:rsid w:val="005D766B"/>
    <w:rsid w:val="005F58B8"/>
    <w:rsid w:val="005F7975"/>
    <w:rsid w:val="00602965"/>
    <w:rsid w:val="00606D79"/>
    <w:rsid w:val="00614E84"/>
    <w:rsid w:val="0063027C"/>
    <w:rsid w:val="00630AC2"/>
    <w:rsid w:val="006310B8"/>
    <w:rsid w:val="00632646"/>
    <w:rsid w:val="00632FF5"/>
    <w:rsid w:val="00633A52"/>
    <w:rsid w:val="006343ED"/>
    <w:rsid w:val="0064057E"/>
    <w:rsid w:val="00641DD0"/>
    <w:rsid w:val="00653E91"/>
    <w:rsid w:val="0065500A"/>
    <w:rsid w:val="0065630A"/>
    <w:rsid w:val="00661595"/>
    <w:rsid w:val="0066664A"/>
    <w:rsid w:val="006710FD"/>
    <w:rsid w:val="006716A7"/>
    <w:rsid w:val="00673467"/>
    <w:rsid w:val="006749E1"/>
    <w:rsid w:val="00680BB7"/>
    <w:rsid w:val="006836E1"/>
    <w:rsid w:val="00693125"/>
    <w:rsid w:val="006932F4"/>
    <w:rsid w:val="00697EA4"/>
    <w:rsid w:val="006A31FF"/>
    <w:rsid w:val="006A5DA2"/>
    <w:rsid w:val="006B048E"/>
    <w:rsid w:val="006B2165"/>
    <w:rsid w:val="006B2AE0"/>
    <w:rsid w:val="006B2BBB"/>
    <w:rsid w:val="006C5E94"/>
    <w:rsid w:val="006C702D"/>
    <w:rsid w:val="006D331D"/>
    <w:rsid w:val="006D339F"/>
    <w:rsid w:val="006D3BDB"/>
    <w:rsid w:val="006D70F9"/>
    <w:rsid w:val="006E0FD1"/>
    <w:rsid w:val="006E2BB6"/>
    <w:rsid w:val="006E4AD9"/>
    <w:rsid w:val="006E675C"/>
    <w:rsid w:val="006E7AB5"/>
    <w:rsid w:val="006F5983"/>
    <w:rsid w:val="00701538"/>
    <w:rsid w:val="007016FB"/>
    <w:rsid w:val="007041DB"/>
    <w:rsid w:val="0070462C"/>
    <w:rsid w:val="00706CF3"/>
    <w:rsid w:val="007105C0"/>
    <w:rsid w:val="00711677"/>
    <w:rsid w:val="007215E1"/>
    <w:rsid w:val="007257D0"/>
    <w:rsid w:val="007326AB"/>
    <w:rsid w:val="00733CAF"/>
    <w:rsid w:val="00734527"/>
    <w:rsid w:val="007375DA"/>
    <w:rsid w:val="00740CD8"/>
    <w:rsid w:val="00744B8F"/>
    <w:rsid w:val="00744E7F"/>
    <w:rsid w:val="00745BEC"/>
    <w:rsid w:val="007647C2"/>
    <w:rsid w:val="00771527"/>
    <w:rsid w:val="007774E4"/>
    <w:rsid w:val="00790117"/>
    <w:rsid w:val="00793D67"/>
    <w:rsid w:val="007957F4"/>
    <w:rsid w:val="00795BD2"/>
    <w:rsid w:val="007B301D"/>
    <w:rsid w:val="007B5200"/>
    <w:rsid w:val="007C31EF"/>
    <w:rsid w:val="007C3352"/>
    <w:rsid w:val="007C67E1"/>
    <w:rsid w:val="007D6B63"/>
    <w:rsid w:val="007F0497"/>
    <w:rsid w:val="007F10F4"/>
    <w:rsid w:val="007F1C0A"/>
    <w:rsid w:val="00800D85"/>
    <w:rsid w:val="00802F6B"/>
    <w:rsid w:val="00806E24"/>
    <w:rsid w:val="0080772E"/>
    <w:rsid w:val="0081153C"/>
    <w:rsid w:val="00831F54"/>
    <w:rsid w:val="0083677A"/>
    <w:rsid w:val="00846762"/>
    <w:rsid w:val="00850A3D"/>
    <w:rsid w:val="008551B1"/>
    <w:rsid w:val="00855B62"/>
    <w:rsid w:val="0086304F"/>
    <w:rsid w:val="00865C8B"/>
    <w:rsid w:val="00874607"/>
    <w:rsid w:val="00880CD2"/>
    <w:rsid w:val="008825DD"/>
    <w:rsid w:val="008831D5"/>
    <w:rsid w:val="00886814"/>
    <w:rsid w:val="00887C92"/>
    <w:rsid w:val="008A1D16"/>
    <w:rsid w:val="008A6A55"/>
    <w:rsid w:val="008A72E8"/>
    <w:rsid w:val="008B43B0"/>
    <w:rsid w:val="008C1BFB"/>
    <w:rsid w:val="008C5B82"/>
    <w:rsid w:val="008C77CB"/>
    <w:rsid w:val="008D4C28"/>
    <w:rsid w:val="008E4870"/>
    <w:rsid w:val="008E7419"/>
    <w:rsid w:val="008E7ADE"/>
    <w:rsid w:val="008F2D7B"/>
    <w:rsid w:val="008F55B7"/>
    <w:rsid w:val="008F5ED9"/>
    <w:rsid w:val="009152AF"/>
    <w:rsid w:val="009155E2"/>
    <w:rsid w:val="00915631"/>
    <w:rsid w:val="00920693"/>
    <w:rsid w:val="00923CBB"/>
    <w:rsid w:val="009439AF"/>
    <w:rsid w:val="0094613A"/>
    <w:rsid w:val="00956172"/>
    <w:rsid w:val="009600C4"/>
    <w:rsid w:val="0098189C"/>
    <w:rsid w:val="00983C1C"/>
    <w:rsid w:val="00984643"/>
    <w:rsid w:val="00994939"/>
    <w:rsid w:val="009950BF"/>
    <w:rsid w:val="00995BB6"/>
    <w:rsid w:val="009B276D"/>
    <w:rsid w:val="009B2F8C"/>
    <w:rsid w:val="009C323F"/>
    <w:rsid w:val="009D0C31"/>
    <w:rsid w:val="009D1013"/>
    <w:rsid w:val="009D31A9"/>
    <w:rsid w:val="009D3B1B"/>
    <w:rsid w:val="009D4170"/>
    <w:rsid w:val="009D454F"/>
    <w:rsid w:val="009D4E90"/>
    <w:rsid w:val="009E14B0"/>
    <w:rsid w:val="009E4F0E"/>
    <w:rsid w:val="009E4FE5"/>
    <w:rsid w:val="009E5DF2"/>
    <w:rsid w:val="009F0EB8"/>
    <w:rsid w:val="009F715C"/>
    <w:rsid w:val="00A00F53"/>
    <w:rsid w:val="00A03262"/>
    <w:rsid w:val="00A03A83"/>
    <w:rsid w:val="00A07ABA"/>
    <w:rsid w:val="00A12B1E"/>
    <w:rsid w:val="00A16D38"/>
    <w:rsid w:val="00A30A66"/>
    <w:rsid w:val="00A42943"/>
    <w:rsid w:val="00A42CF8"/>
    <w:rsid w:val="00A434F3"/>
    <w:rsid w:val="00A44238"/>
    <w:rsid w:val="00A44931"/>
    <w:rsid w:val="00A54131"/>
    <w:rsid w:val="00A628C6"/>
    <w:rsid w:val="00A65233"/>
    <w:rsid w:val="00A75398"/>
    <w:rsid w:val="00A776F2"/>
    <w:rsid w:val="00A80BA7"/>
    <w:rsid w:val="00A94C2D"/>
    <w:rsid w:val="00A963C0"/>
    <w:rsid w:val="00AB0EE1"/>
    <w:rsid w:val="00AB26CD"/>
    <w:rsid w:val="00AB2BE6"/>
    <w:rsid w:val="00AC2C18"/>
    <w:rsid w:val="00AC2DEE"/>
    <w:rsid w:val="00AC3C95"/>
    <w:rsid w:val="00AC6896"/>
    <w:rsid w:val="00AD49AB"/>
    <w:rsid w:val="00AE0548"/>
    <w:rsid w:val="00AE6B8C"/>
    <w:rsid w:val="00AF03FD"/>
    <w:rsid w:val="00AF0415"/>
    <w:rsid w:val="00AF3360"/>
    <w:rsid w:val="00AF3822"/>
    <w:rsid w:val="00AF42A4"/>
    <w:rsid w:val="00B02172"/>
    <w:rsid w:val="00B15021"/>
    <w:rsid w:val="00B163B9"/>
    <w:rsid w:val="00B221EE"/>
    <w:rsid w:val="00B32AB1"/>
    <w:rsid w:val="00B341E9"/>
    <w:rsid w:val="00B36A79"/>
    <w:rsid w:val="00B36BE4"/>
    <w:rsid w:val="00B452D5"/>
    <w:rsid w:val="00B5787E"/>
    <w:rsid w:val="00B617AD"/>
    <w:rsid w:val="00B64554"/>
    <w:rsid w:val="00B64703"/>
    <w:rsid w:val="00B71374"/>
    <w:rsid w:val="00B736AC"/>
    <w:rsid w:val="00B81B62"/>
    <w:rsid w:val="00B90145"/>
    <w:rsid w:val="00B91563"/>
    <w:rsid w:val="00B91EE3"/>
    <w:rsid w:val="00BA5BFA"/>
    <w:rsid w:val="00BB6193"/>
    <w:rsid w:val="00BC043B"/>
    <w:rsid w:val="00BC1BB4"/>
    <w:rsid w:val="00BE5621"/>
    <w:rsid w:val="00BE6DD4"/>
    <w:rsid w:val="00BF4CEE"/>
    <w:rsid w:val="00BF5F8F"/>
    <w:rsid w:val="00BF608A"/>
    <w:rsid w:val="00BF6E7D"/>
    <w:rsid w:val="00C01AF3"/>
    <w:rsid w:val="00C03F64"/>
    <w:rsid w:val="00C04895"/>
    <w:rsid w:val="00C103D9"/>
    <w:rsid w:val="00C11AD3"/>
    <w:rsid w:val="00C145D7"/>
    <w:rsid w:val="00C17D02"/>
    <w:rsid w:val="00C2129B"/>
    <w:rsid w:val="00C21B21"/>
    <w:rsid w:val="00C2201B"/>
    <w:rsid w:val="00C2454A"/>
    <w:rsid w:val="00C2506C"/>
    <w:rsid w:val="00C276EC"/>
    <w:rsid w:val="00C417CB"/>
    <w:rsid w:val="00C51EFB"/>
    <w:rsid w:val="00C61778"/>
    <w:rsid w:val="00C71BFD"/>
    <w:rsid w:val="00C77D76"/>
    <w:rsid w:val="00C77E7C"/>
    <w:rsid w:val="00C93233"/>
    <w:rsid w:val="00C94B5B"/>
    <w:rsid w:val="00C9654F"/>
    <w:rsid w:val="00CA5539"/>
    <w:rsid w:val="00CA56F3"/>
    <w:rsid w:val="00CA5DBB"/>
    <w:rsid w:val="00CC50CD"/>
    <w:rsid w:val="00CD5C1B"/>
    <w:rsid w:val="00CE3F0C"/>
    <w:rsid w:val="00CF3EC5"/>
    <w:rsid w:val="00CF6282"/>
    <w:rsid w:val="00D0407B"/>
    <w:rsid w:val="00D11F67"/>
    <w:rsid w:val="00D2021B"/>
    <w:rsid w:val="00D20C3C"/>
    <w:rsid w:val="00D26D11"/>
    <w:rsid w:val="00D36619"/>
    <w:rsid w:val="00D3784E"/>
    <w:rsid w:val="00D44D5B"/>
    <w:rsid w:val="00D47E02"/>
    <w:rsid w:val="00D50059"/>
    <w:rsid w:val="00D5164A"/>
    <w:rsid w:val="00D618F3"/>
    <w:rsid w:val="00D725C2"/>
    <w:rsid w:val="00D73141"/>
    <w:rsid w:val="00D8220E"/>
    <w:rsid w:val="00D91573"/>
    <w:rsid w:val="00D91B26"/>
    <w:rsid w:val="00D9517F"/>
    <w:rsid w:val="00DA3D17"/>
    <w:rsid w:val="00DC72D5"/>
    <w:rsid w:val="00DC7843"/>
    <w:rsid w:val="00DE34CB"/>
    <w:rsid w:val="00DF075B"/>
    <w:rsid w:val="00DF238B"/>
    <w:rsid w:val="00DF558E"/>
    <w:rsid w:val="00DF55E8"/>
    <w:rsid w:val="00DF60D3"/>
    <w:rsid w:val="00E0200F"/>
    <w:rsid w:val="00E03AAA"/>
    <w:rsid w:val="00E078E7"/>
    <w:rsid w:val="00E12FDA"/>
    <w:rsid w:val="00E14C82"/>
    <w:rsid w:val="00E3156D"/>
    <w:rsid w:val="00E33D68"/>
    <w:rsid w:val="00E460AC"/>
    <w:rsid w:val="00E5134E"/>
    <w:rsid w:val="00E52B2F"/>
    <w:rsid w:val="00E52E9B"/>
    <w:rsid w:val="00E62414"/>
    <w:rsid w:val="00E645EB"/>
    <w:rsid w:val="00E736D7"/>
    <w:rsid w:val="00E74CEF"/>
    <w:rsid w:val="00E75D87"/>
    <w:rsid w:val="00E75EA0"/>
    <w:rsid w:val="00E767E6"/>
    <w:rsid w:val="00E8317B"/>
    <w:rsid w:val="00E85D7D"/>
    <w:rsid w:val="00E9180C"/>
    <w:rsid w:val="00EA34FB"/>
    <w:rsid w:val="00EA37AA"/>
    <w:rsid w:val="00EA4C49"/>
    <w:rsid w:val="00EB5730"/>
    <w:rsid w:val="00EB6196"/>
    <w:rsid w:val="00EB6518"/>
    <w:rsid w:val="00EC21A0"/>
    <w:rsid w:val="00EC3119"/>
    <w:rsid w:val="00EC6DCA"/>
    <w:rsid w:val="00ED2F6A"/>
    <w:rsid w:val="00EE412D"/>
    <w:rsid w:val="00EF67BD"/>
    <w:rsid w:val="00F07E37"/>
    <w:rsid w:val="00F10D03"/>
    <w:rsid w:val="00F11009"/>
    <w:rsid w:val="00F14BBD"/>
    <w:rsid w:val="00F277D5"/>
    <w:rsid w:val="00F27931"/>
    <w:rsid w:val="00F31FEF"/>
    <w:rsid w:val="00F32FF1"/>
    <w:rsid w:val="00F3311B"/>
    <w:rsid w:val="00F35C8D"/>
    <w:rsid w:val="00F562B4"/>
    <w:rsid w:val="00F56623"/>
    <w:rsid w:val="00F57C27"/>
    <w:rsid w:val="00F67A14"/>
    <w:rsid w:val="00F852C2"/>
    <w:rsid w:val="00F868ED"/>
    <w:rsid w:val="00F9000F"/>
    <w:rsid w:val="00F908A3"/>
    <w:rsid w:val="00F973DD"/>
    <w:rsid w:val="00F973EF"/>
    <w:rsid w:val="00FA1C30"/>
    <w:rsid w:val="00FC701B"/>
    <w:rsid w:val="00FD0F18"/>
    <w:rsid w:val="00FD12ED"/>
    <w:rsid w:val="00FD5B72"/>
    <w:rsid w:val="00FE02A8"/>
    <w:rsid w:val="00FE5584"/>
    <w:rsid w:val="00FE5EDE"/>
    <w:rsid w:val="00FE6779"/>
    <w:rsid w:val="00FE6D14"/>
    <w:rsid w:val="00FF5E3A"/>
    <w:rsid w:val="00FF6841"/>
    <w:rsid w:val="00FF7FB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284FF"/>
  <w15:docId w15:val="{713E15D2-34E7-41BF-8801-882F95C3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331D"/>
    <w:pPr>
      <w:ind w:left="720"/>
      <w:contextualSpacing/>
    </w:pPr>
  </w:style>
  <w:style w:type="paragraph" w:styleId="Header">
    <w:name w:val="header"/>
    <w:basedOn w:val="Normal"/>
    <w:link w:val="HeaderChar"/>
    <w:uiPriority w:val="99"/>
    <w:unhideWhenUsed/>
    <w:rsid w:val="001300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036"/>
  </w:style>
  <w:style w:type="paragraph" w:styleId="Footer">
    <w:name w:val="footer"/>
    <w:basedOn w:val="Normal"/>
    <w:link w:val="FooterChar"/>
    <w:uiPriority w:val="99"/>
    <w:unhideWhenUsed/>
    <w:rsid w:val="00130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036"/>
  </w:style>
  <w:style w:type="paragraph" w:styleId="FootnoteText">
    <w:name w:val="footnote text"/>
    <w:basedOn w:val="Normal"/>
    <w:link w:val="FootnoteTextChar"/>
    <w:uiPriority w:val="99"/>
    <w:semiHidden/>
    <w:unhideWhenUsed/>
    <w:rsid w:val="00634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43ED"/>
    <w:rPr>
      <w:sz w:val="20"/>
      <w:szCs w:val="20"/>
    </w:rPr>
  </w:style>
  <w:style w:type="character" w:styleId="FootnoteReference">
    <w:name w:val="footnote reference"/>
    <w:basedOn w:val="DefaultParagraphFont"/>
    <w:uiPriority w:val="99"/>
    <w:semiHidden/>
    <w:unhideWhenUsed/>
    <w:rsid w:val="006343ED"/>
    <w:rPr>
      <w:vertAlign w:val="superscript"/>
    </w:rPr>
  </w:style>
  <w:style w:type="paragraph" w:styleId="BalloonText">
    <w:name w:val="Balloon Text"/>
    <w:basedOn w:val="Normal"/>
    <w:link w:val="BalloonTextChar"/>
    <w:uiPriority w:val="99"/>
    <w:semiHidden/>
    <w:unhideWhenUsed/>
    <w:rsid w:val="004B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Hyperlink">
    <w:name w:val="Hyperlink"/>
    <w:basedOn w:val="DefaultParagraphFont"/>
    <w:uiPriority w:val="99"/>
    <w:unhideWhenUsed/>
    <w:rsid w:val="00A434F3"/>
    <w:rPr>
      <w:color w:val="0000FF" w:themeColor="hyperlink"/>
      <w:u w:val="single"/>
    </w:rPr>
  </w:style>
  <w:style w:type="paragraph" w:customStyle="1" w:styleId="yiv6326553480m4434184440366046050gmail-msolistparagraph">
    <w:name w:val="yiv6326553480m_4434184440366046050gmail-msolistparagraph"/>
    <w:basedOn w:val="Normal"/>
    <w:rsid w:val="00995BB6"/>
    <w:pPr>
      <w:spacing w:before="100" w:beforeAutospacing="1" w:after="100" w:afterAutospacing="1" w:line="240" w:lineRule="auto"/>
    </w:pPr>
    <w:rPr>
      <w:rFonts w:ascii="Times New Roman" w:eastAsia="Times New Roman" w:hAnsi="Times New Roman" w:cs="Times New Roman"/>
      <w:sz w:val="24"/>
      <w:szCs w:val="24"/>
      <w:lang w:val="en-PH" w:eastAsia="en-PH"/>
    </w:rPr>
  </w:style>
  <w:style w:type="character" w:styleId="CommentReference">
    <w:name w:val="annotation reference"/>
    <w:basedOn w:val="DefaultParagraphFont"/>
    <w:uiPriority w:val="99"/>
    <w:semiHidden/>
    <w:unhideWhenUsed/>
    <w:rsid w:val="002A2AA4"/>
    <w:rPr>
      <w:sz w:val="16"/>
      <w:szCs w:val="16"/>
    </w:rPr>
  </w:style>
  <w:style w:type="paragraph" w:styleId="CommentText">
    <w:name w:val="annotation text"/>
    <w:basedOn w:val="Normal"/>
    <w:link w:val="CommentTextChar"/>
    <w:uiPriority w:val="99"/>
    <w:semiHidden/>
    <w:unhideWhenUsed/>
    <w:rsid w:val="002A2AA4"/>
    <w:pPr>
      <w:spacing w:line="240" w:lineRule="auto"/>
    </w:pPr>
    <w:rPr>
      <w:sz w:val="20"/>
      <w:szCs w:val="20"/>
    </w:rPr>
  </w:style>
  <w:style w:type="character" w:customStyle="1" w:styleId="CommentTextChar">
    <w:name w:val="Comment Text Char"/>
    <w:basedOn w:val="DefaultParagraphFont"/>
    <w:link w:val="CommentText"/>
    <w:uiPriority w:val="99"/>
    <w:semiHidden/>
    <w:rsid w:val="002A2AA4"/>
    <w:rPr>
      <w:sz w:val="20"/>
      <w:szCs w:val="20"/>
    </w:rPr>
  </w:style>
  <w:style w:type="paragraph" w:styleId="CommentSubject">
    <w:name w:val="annotation subject"/>
    <w:basedOn w:val="CommentText"/>
    <w:next w:val="CommentText"/>
    <w:link w:val="CommentSubjectChar"/>
    <w:uiPriority w:val="99"/>
    <w:semiHidden/>
    <w:unhideWhenUsed/>
    <w:rsid w:val="00994939"/>
    <w:rPr>
      <w:b/>
      <w:bCs/>
    </w:rPr>
  </w:style>
  <w:style w:type="character" w:customStyle="1" w:styleId="CommentSubjectChar">
    <w:name w:val="Comment Subject Char"/>
    <w:basedOn w:val="CommentTextChar"/>
    <w:link w:val="CommentSubject"/>
    <w:uiPriority w:val="99"/>
    <w:semiHidden/>
    <w:rsid w:val="00994939"/>
    <w:rPr>
      <w:b/>
      <w:bCs/>
      <w:sz w:val="20"/>
      <w:szCs w:val="20"/>
    </w:rPr>
  </w:style>
  <w:style w:type="paragraph" w:styleId="Revision">
    <w:name w:val="Revision"/>
    <w:hidden/>
    <w:uiPriority w:val="99"/>
    <w:semiHidden/>
    <w:rsid w:val="00994939"/>
    <w:pPr>
      <w:spacing w:after="0" w:line="240" w:lineRule="auto"/>
    </w:pPr>
  </w:style>
  <w:style w:type="paragraph" w:styleId="NoSpacing">
    <w:name w:val="No Spacing"/>
    <w:uiPriority w:val="1"/>
    <w:qFormat/>
    <w:rsid w:val="00AB0EE1"/>
    <w:pPr>
      <w:spacing w:after="0" w:line="240" w:lineRule="auto"/>
    </w:pPr>
    <w:rPr>
      <w:rFonts w:eastAsiaTheme="minorEastAsia"/>
      <w:lang w:val="es-MX" w:eastAsia="es-MX"/>
    </w:rPr>
  </w:style>
  <w:style w:type="character" w:customStyle="1" w:styleId="il">
    <w:name w:val="il"/>
    <w:basedOn w:val="DefaultParagraphFont"/>
    <w:rsid w:val="0088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 w:id="1423799926">
      <w:bodyDiv w:val="1"/>
      <w:marLeft w:val="0"/>
      <w:marRight w:val="0"/>
      <w:marTop w:val="0"/>
      <w:marBottom w:val="0"/>
      <w:divBdr>
        <w:top w:val="none" w:sz="0" w:space="0" w:color="auto"/>
        <w:left w:val="none" w:sz="0" w:space="0" w:color="auto"/>
        <w:bottom w:val="none" w:sz="0" w:space="0" w:color="auto"/>
        <w:right w:val="none" w:sz="0" w:space="0" w:color="auto"/>
      </w:divBdr>
      <w:divsChild>
        <w:div w:id="1226065904">
          <w:marLeft w:val="360"/>
          <w:marRight w:val="0"/>
          <w:marTop w:val="86"/>
          <w:marBottom w:val="0"/>
          <w:divBdr>
            <w:top w:val="none" w:sz="0" w:space="0" w:color="auto"/>
            <w:left w:val="none" w:sz="0" w:space="0" w:color="auto"/>
            <w:bottom w:val="none" w:sz="0" w:space="0" w:color="auto"/>
            <w:right w:val="none" w:sz="0" w:space="0" w:color="auto"/>
          </w:divBdr>
        </w:div>
      </w:divsChild>
    </w:div>
    <w:div w:id="1867522457">
      <w:bodyDiv w:val="1"/>
      <w:marLeft w:val="0"/>
      <w:marRight w:val="0"/>
      <w:marTop w:val="0"/>
      <w:marBottom w:val="0"/>
      <w:divBdr>
        <w:top w:val="none" w:sz="0" w:space="0" w:color="auto"/>
        <w:left w:val="none" w:sz="0" w:space="0" w:color="auto"/>
        <w:bottom w:val="none" w:sz="0" w:space="0" w:color="auto"/>
        <w:right w:val="none" w:sz="0" w:space="0" w:color="auto"/>
      </w:divBdr>
      <w:divsChild>
        <w:div w:id="52392133">
          <w:marLeft w:val="360"/>
          <w:marRight w:val="0"/>
          <w:marTop w:val="86"/>
          <w:marBottom w:val="0"/>
          <w:divBdr>
            <w:top w:val="none" w:sz="0" w:space="0" w:color="auto"/>
            <w:left w:val="none" w:sz="0" w:space="0" w:color="auto"/>
            <w:bottom w:val="none" w:sz="0" w:space="0" w:color="auto"/>
            <w:right w:val="none" w:sz="0" w:space="0" w:color="auto"/>
          </w:divBdr>
        </w:div>
      </w:divsChild>
    </w:div>
    <w:div w:id="2143224895">
      <w:bodyDiv w:val="1"/>
      <w:marLeft w:val="0"/>
      <w:marRight w:val="0"/>
      <w:marTop w:val="0"/>
      <w:marBottom w:val="0"/>
      <w:divBdr>
        <w:top w:val="none" w:sz="0" w:space="0" w:color="auto"/>
        <w:left w:val="none" w:sz="0" w:space="0" w:color="auto"/>
        <w:bottom w:val="none" w:sz="0" w:space="0" w:color="auto"/>
        <w:right w:val="none" w:sz="0" w:space="0" w:color="auto"/>
      </w:divBdr>
      <w:divsChild>
        <w:div w:id="1733387071">
          <w:marLeft w:val="36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AEEEE-416D-456C-9F3D-8E1C60268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2119</Words>
  <Characters>12081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Cora Lea A. dela Cruz</cp:lastModifiedBy>
  <cp:revision>2</cp:revision>
  <cp:lastPrinted>2020-02-24T01:59:00Z</cp:lastPrinted>
  <dcterms:created xsi:type="dcterms:W3CDTF">2020-09-18T02:04:00Z</dcterms:created>
  <dcterms:modified xsi:type="dcterms:W3CDTF">2020-09-18T02:04:00Z</dcterms:modified>
</cp:coreProperties>
</file>