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Обычный"/>
        <w:spacing w:after="120" w:line="240" w:lineRule="auto"/>
        <w:ind w:left="1440" w:firstLine="720"/>
        <w:rPr>
          <w:rFonts w:ascii="Cambria" w:cs="Cambria" w:hAnsi="Cambria" w:eastAsia="Cambria"/>
          <w:color w:val="244061"/>
          <w:sz w:val="24"/>
          <w:szCs w:val="24"/>
          <w:u w:color="244061"/>
        </w:rPr>
      </w:pPr>
      <w:r>
        <mc:AlternateContent>
          <mc:Choice Requires="wpg">
            <w:drawing>
              <wp:anchor distT="0" distB="0" distL="0" distR="0" simplePos="0" relativeHeight="251661312" behindDoc="0" locked="0" layoutInCell="1" allowOverlap="1">
                <wp:simplePos x="0" y="0"/>
                <wp:positionH relativeFrom="column">
                  <wp:posOffset>3886200</wp:posOffset>
                </wp:positionH>
                <wp:positionV relativeFrom="line">
                  <wp:posOffset>-342899</wp:posOffset>
                </wp:positionV>
                <wp:extent cx="1863090" cy="407037"/>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1863090" cy="407037"/>
                          <a:chOff x="0" y="0"/>
                          <a:chExt cx="1863089" cy="407036"/>
                        </a:xfrm>
                      </wpg:grpSpPr>
                      <wps:wsp>
                        <wps:cNvPr id="1073741825" name="Shape 1073741825"/>
                        <wps:cNvSpPr/>
                        <wps:spPr>
                          <a:xfrm>
                            <a:off x="0" y="-1"/>
                            <a:ext cx="1863090" cy="407037"/>
                          </a:xfrm>
                          <a:prstGeom prst="rect">
                            <a:avLst/>
                          </a:prstGeom>
                          <a:solidFill>
                            <a:srgbClr val="FFFFFF"/>
                          </a:solidFill>
                          <a:ln w="12700" cap="flat">
                            <a:noFill/>
                            <a:miter lim="400000"/>
                          </a:ln>
                          <a:effectLst/>
                        </wps:spPr>
                        <wps:bodyPr/>
                      </wps:wsp>
                      <wps:wsp>
                        <wps:cNvPr id="1073741826" name="Shape 1073741826"/>
                        <wps:cNvSpPr/>
                        <wps:spPr>
                          <a:xfrm>
                            <a:off x="0" y="-1"/>
                            <a:ext cx="1863090" cy="407037"/>
                          </a:xfrm>
                          <a:prstGeom prst="rect">
                            <a:avLst/>
                          </a:prstGeom>
                          <a:noFill/>
                          <a:ln w="12700" cap="flat">
                            <a:noFill/>
                            <a:miter lim="400000"/>
                          </a:ln>
                          <a:effectLst/>
                        </wps:spPr>
                        <wps:txbx>
                          <w:txbxContent>
                            <w:p>
                              <w:pPr>
                                <w:pStyle w:val="Обычный"/>
                              </w:pPr>
                              <w:r>
                                <w:rPr>
                                  <w:rFonts w:ascii="Cambria" w:cs="Cambria" w:hAnsi="Cambria" w:eastAsia="Cambria"/>
                                  <w:color w:val="244061"/>
                                  <w:u w:color="244061"/>
                                  <w:rtl w:val="0"/>
                                  <w:lang w:val="en-US"/>
                                </w:rPr>
                                <w:t>KSC work plan 2020-22</w:t>
                              </w:r>
                            </w:p>
                          </w:txbxContent>
                        </wps:txbx>
                        <wps:bodyPr wrap="square" lIns="45718" tIns="45718" rIns="45718" bIns="45718" numCol="1" anchor="t">
                          <a:noAutofit/>
                        </wps:bodyPr>
                      </wps:wsp>
                    </wpg:wgp>
                  </a:graphicData>
                </a:graphic>
              </wp:anchor>
            </w:drawing>
          </mc:Choice>
          <mc:Fallback>
            <w:pict>
              <v:group id="_x0000_s1026" style="visibility:visible;position:absolute;margin-left:306.0pt;margin-top:-27.0pt;width:146.7pt;height:32.1pt;z-index:251661312;mso-position-horizontal:absolute;mso-position-horizontal-relative:text;mso-position-vertical:absolute;mso-position-vertical-relative:line;mso-wrap-distance-left:0.0pt;mso-wrap-distance-top:0.0pt;mso-wrap-distance-right:0.0pt;mso-wrap-distance-bottom:0.0pt;" coordorigin="0,0" coordsize="1863090,407036">
                <w10:wrap type="none" side="bothSides" anchorx="text"/>
                <v:rect id="_x0000_s1027" style="position:absolute;left:0;top:0;width:1863090;height:407036;">
                  <v:fill color="#FFFFFF" opacity="100.0%" type="solid"/>
                  <v:stroke on="f" weight="1.0pt" dashstyle="solid" endcap="flat" miterlimit="400.0%" joinstyle="miter" linestyle="single" startarrow="none" startarrowwidth="medium" startarrowlength="medium" endarrow="none" endarrowwidth="medium" endarrowlength="medium"/>
                </v:rect>
                <v:rect id="_x0000_s1028" style="position:absolute;left:0;top:0;width:1863090;height:407036;">
                  <v:fill on="f"/>
                  <v:stroke on="f" weight="1.0pt" dashstyle="solid" endcap="flat" miterlimit="400.0%" joinstyle="miter" linestyle="single" startarrow="none" startarrowwidth="medium" startarrowlength="medium" endarrow="none" endarrowwidth="medium" endarrowlength="medium"/>
                  <v:textbox>
                    <w:txbxContent>
                      <w:p>
                        <w:pPr>
                          <w:pStyle w:val="Обычный"/>
                        </w:pPr>
                        <w:r>
                          <w:rPr>
                            <w:rFonts w:ascii="Cambria" w:cs="Cambria" w:hAnsi="Cambria" w:eastAsia="Cambria"/>
                            <w:color w:val="244061"/>
                            <w:u w:color="244061"/>
                            <w:rtl w:val="0"/>
                            <w:lang w:val="en-US"/>
                          </w:rPr>
                          <w:t>KSC work plan 2020-22</w:t>
                        </w:r>
                      </w:p>
                    </w:txbxContent>
                  </v:textbox>
                </v:rect>
              </v:group>
            </w:pict>
          </mc:Fallback>
        </mc:AlternateContent>
      </w:r>
      <w:r>
        <mc:AlternateContent>
          <mc:Choice Requires="wpg">
            <w:drawing>
              <wp:anchor distT="57150" distB="57150" distL="57150" distR="57150" simplePos="0" relativeHeight="251659264" behindDoc="0" locked="0" layoutInCell="1" allowOverlap="1">
                <wp:simplePos x="0" y="0"/>
                <wp:positionH relativeFrom="page">
                  <wp:posOffset>7195819</wp:posOffset>
                </wp:positionH>
                <wp:positionV relativeFrom="page">
                  <wp:posOffset>319086</wp:posOffset>
                </wp:positionV>
                <wp:extent cx="3053717" cy="1647825"/>
                <wp:effectExtent l="0" t="0" r="0" b="0"/>
                <wp:wrapNone/>
                <wp:docPr id="1073741830" name="officeArt object"/>
                <wp:cNvGraphicFramePr/>
                <a:graphic xmlns:a="http://schemas.openxmlformats.org/drawingml/2006/main">
                  <a:graphicData uri="http://schemas.microsoft.com/office/word/2010/wordprocessingGroup">
                    <wpg:wgp>
                      <wpg:cNvGrpSpPr/>
                      <wpg:grpSpPr>
                        <a:xfrm>
                          <a:off x="0" y="0"/>
                          <a:ext cx="3053717" cy="1647825"/>
                          <a:chOff x="0" y="0"/>
                          <a:chExt cx="3053716" cy="1647825"/>
                        </a:xfrm>
                      </wpg:grpSpPr>
                      <wps:wsp>
                        <wps:cNvPr id="1073741828" name="Shape 1073741828"/>
                        <wps:cNvSpPr/>
                        <wps:spPr>
                          <a:xfrm>
                            <a:off x="-1" y="0"/>
                            <a:ext cx="3053718" cy="1647825"/>
                          </a:xfrm>
                          <a:prstGeom prst="rect">
                            <a:avLst/>
                          </a:prstGeom>
                          <a:solidFill>
                            <a:srgbClr val="FFFFFF"/>
                          </a:solidFill>
                          <a:ln w="9525" cap="flat">
                            <a:solidFill>
                              <a:srgbClr val="7F7F7F"/>
                            </a:solidFill>
                            <a:prstDash val="solid"/>
                            <a:round/>
                          </a:ln>
                          <a:effectLst/>
                        </wps:spPr>
                        <wps:bodyPr/>
                      </wps:wsp>
                      <wps:wsp>
                        <wps:cNvPr id="1073741829" name="Shape 1073741829"/>
                        <wps:cNvSpPr/>
                        <wps:spPr>
                          <a:xfrm>
                            <a:off x="-1" y="0"/>
                            <a:ext cx="3053718" cy="1647825"/>
                          </a:xfrm>
                          <a:prstGeom prst="rect">
                            <a:avLst/>
                          </a:prstGeom>
                          <a:noFill/>
                          <a:ln w="12700" cap="flat">
                            <a:noFill/>
                            <a:miter lim="400000"/>
                          </a:ln>
                          <a:effectLst/>
                        </wps:spPr>
                        <wps:txbx>
                          <w:txbxContent>
                            <w:p>
                              <w:pPr>
                                <w:pStyle w:val="Обычный"/>
                                <w:spacing w:after="40"/>
                                <w:jc w:val="center"/>
                              </w:pPr>
                              <w:r>
                                <w:rPr>
                                  <w:rtl w:val="0"/>
                                  <w:lang w:val="en-US"/>
                                </w:rPr>
                                <w:t>Key to progress indicator colours</w:t>
                              </w:r>
                            </w:p>
                            <w:p>
                              <w:pPr>
                                <w:pStyle w:val="Обычный"/>
                                <w:spacing w:after="0" w:line="240" w:lineRule="auto"/>
                                <w:rPr>
                                  <w:rFonts w:ascii="Times New Roman" w:cs="Times New Roman" w:hAnsi="Times New Roman" w:eastAsia="Times New Roman"/>
                                  <w:sz w:val="18"/>
                                  <w:szCs w:val="18"/>
                                </w:rPr>
                              </w:pPr>
                              <w:r>
                                <w:tab/>
                              </w:r>
                              <w:r>
                                <w:rPr>
                                  <w:rFonts w:ascii="Times New Roman" w:hAnsi="Times New Roman"/>
                                  <w:sz w:val="18"/>
                                  <w:szCs w:val="18"/>
                                  <w:rtl w:val="0"/>
                                  <w:lang w:val="en-US"/>
                                </w:rPr>
                                <w:t xml:space="preserve">Initiatives / projects on schedule </w:t>
                              </w:r>
                            </w:p>
                            <w:p>
                              <w:pPr>
                                <w:pStyle w:val="Обычный"/>
                                <w:spacing w:after="0" w:line="240" w:lineRule="auto"/>
                                <w:rPr>
                                  <w:rFonts w:ascii="Times New Roman" w:cs="Times New Roman" w:hAnsi="Times New Roman" w:eastAsia="Times New Roman"/>
                                  <w:sz w:val="18"/>
                                  <w:szCs w:val="18"/>
                                </w:rPr>
                              </w:pPr>
                              <w:r>
                                <w:tab/>
                              </w:r>
                              <w:r>
                                <w:rPr>
                                  <w:rFonts w:ascii="Times New Roman" w:hAnsi="Times New Roman"/>
                                  <w:sz w:val="18"/>
                                  <w:szCs w:val="18"/>
                                  <w:rtl w:val="0"/>
                                  <w:lang w:val="en-US"/>
                                </w:rPr>
                                <w:t>Initiatives / projects behind schedule</w:t>
                              </w:r>
                            </w:p>
                            <w:p>
                              <w:pPr>
                                <w:pStyle w:val="Обычный"/>
                                <w:spacing w:after="0" w:line="240" w:lineRule="auto"/>
                                <w:rPr>
                                  <w:rFonts w:ascii="Times New Roman" w:cs="Times New Roman" w:hAnsi="Times New Roman" w:eastAsia="Times New Roman"/>
                                  <w:sz w:val="18"/>
                                  <w:szCs w:val="18"/>
                                </w:rPr>
                              </w:pPr>
                              <w:r>
                                <w:tab/>
                              </w:r>
                              <w:r>
                                <w:rPr>
                                  <w:rFonts w:ascii="Times New Roman" w:hAnsi="Times New Roman"/>
                                  <w:sz w:val="18"/>
                                  <w:szCs w:val="18"/>
                                  <w:rtl w:val="0"/>
                                  <w:lang w:val="en-US"/>
                                </w:rPr>
                                <w:t xml:space="preserve">Serious difficulties being experienced </w:t>
                              </w:r>
                              <w:r>
                                <w:rPr>
                                  <w:rFonts w:ascii="Times New Roman" w:hAnsi="Times New Roman" w:hint="default"/>
                                  <w:sz w:val="18"/>
                                  <w:szCs w:val="18"/>
                                  <w:rtl w:val="0"/>
                                  <w:lang w:val="en-US"/>
                                </w:rPr>
                                <w:t xml:space="preserve">– </w:t>
                              </w:r>
                              <w:r>
                                <w:rPr>
                                  <w:rFonts w:ascii="Times New Roman" w:hAnsi="Times New Roman"/>
                                  <w:sz w:val="18"/>
                                  <w:szCs w:val="18"/>
                                  <w:rtl w:val="0"/>
                                  <w:lang w:val="en-US"/>
                                </w:rPr>
                                <w:t>Internal factors</w:t>
                              </w:r>
                            </w:p>
                            <w:p>
                              <w:pPr>
                                <w:pStyle w:val="Обычный"/>
                                <w:spacing w:after="0" w:line="240" w:lineRule="auto"/>
                                <w:rPr>
                                  <w:rFonts w:ascii="Times New Roman" w:cs="Times New Roman" w:hAnsi="Times New Roman" w:eastAsia="Times New Roman"/>
                                  <w:sz w:val="18"/>
                                  <w:szCs w:val="18"/>
                                </w:rPr>
                              </w:pPr>
                              <w:r>
                                <w:tab/>
                              </w:r>
                              <w:r>
                                <w:rPr>
                                  <w:rFonts w:ascii="Times New Roman" w:hAnsi="Times New Roman"/>
                                  <w:sz w:val="18"/>
                                  <w:szCs w:val="18"/>
                                  <w:rtl w:val="0"/>
                                  <w:lang w:val="en-US"/>
                                </w:rPr>
                                <w:t xml:space="preserve">Serious difficulties being experienced </w:t>
                              </w:r>
                              <w:r>
                                <w:rPr>
                                  <w:rFonts w:ascii="Times New Roman" w:hAnsi="Times New Roman" w:hint="default"/>
                                  <w:sz w:val="18"/>
                                  <w:szCs w:val="18"/>
                                  <w:rtl w:val="0"/>
                                  <w:lang w:val="en-US"/>
                                </w:rPr>
                                <w:t xml:space="preserve">– </w:t>
                              </w:r>
                              <w:r>
                                <w:rPr>
                                  <w:rFonts w:ascii="Times New Roman" w:hAnsi="Times New Roman"/>
                                  <w:sz w:val="18"/>
                                  <w:szCs w:val="18"/>
                                  <w:rtl w:val="0"/>
                                  <w:lang w:val="en-US"/>
                                </w:rPr>
                                <w:t>External factors (beyond the control of the WG)</w:t>
                              </w:r>
                            </w:p>
                            <w:p>
                              <w:pPr>
                                <w:pStyle w:val="Обычный"/>
                                <w:spacing w:after="0" w:line="240" w:lineRule="auto"/>
                                <w:rPr>
                                  <w:rFonts w:ascii="Times New Roman" w:cs="Times New Roman" w:hAnsi="Times New Roman" w:eastAsia="Times New Roman"/>
                                  <w:sz w:val="18"/>
                                  <w:szCs w:val="18"/>
                                </w:rPr>
                              </w:pPr>
                              <w:r>
                                <w:tab/>
                              </w:r>
                              <w:r>
                                <w:rPr>
                                  <w:rFonts w:ascii="Times New Roman" w:hAnsi="Times New Roman"/>
                                  <w:sz w:val="18"/>
                                  <w:szCs w:val="18"/>
                                  <w:rtl w:val="0"/>
                                  <w:lang w:val="en-US"/>
                                </w:rPr>
                                <w:t>Not yet scheduled to start</w:t>
                              </w:r>
                            </w:p>
                            <w:p>
                              <w:pPr>
                                <w:pStyle w:val="Обычный"/>
                                <w:spacing w:after="0" w:line="260" w:lineRule="atLeast"/>
                              </w:pPr>
                              <w:r>
                                <w:tab/>
                              </w:r>
                              <w:r>
                                <w:rPr>
                                  <w:rFonts w:ascii="Times New Roman" w:hAnsi="Times New Roman"/>
                                  <w:sz w:val="20"/>
                                  <w:szCs w:val="20"/>
                                  <w:rtl w:val="0"/>
                                  <w:lang w:val="en-US"/>
                                </w:rPr>
                                <w:t xml:space="preserve">Initiatives  / projects completed </w:t>
                              </w:r>
                            </w:p>
                          </w:txbxContent>
                        </wps:txbx>
                        <wps:bodyPr wrap="square" lIns="45718" tIns="45718" rIns="45718" bIns="45718" numCol="1" anchor="t">
                          <a:noAutofit/>
                        </wps:bodyPr>
                      </wps:wsp>
                    </wpg:wgp>
                  </a:graphicData>
                </a:graphic>
              </wp:anchor>
            </w:drawing>
          </mc:Choice>
          <mc:Fallback>
            <w:pict>
              <v:group id="_x0000_s1029" style="visibility:visible;position:absolute;margin-left:566.6pt;margin-top:25.1pt;width:240.5pt;height:129.8pt;z-index:251659264;mso-position-horizontal:absolute;mso-position-horizontal-relative:page;mso-position-vertical:absolute;mso-position-vertical-relative:page;mso-wrap-distance-left:4.5pt;mso-wrap-distance-top:4.5pt;mso-wrap-distance-right:4.5pt;mso-wrap-distance-bottom:4.5pt;" coordorigin="0,0" coordsize="3053716,1647825">
                <w10:wrap type="none" side="bothSides" anchorx="page" anchory="page"/>
                <v:rect id="_x0000_s1030" style="position:absolute;left:0;top:0;width:3053716;height:1647825;">
                  <v:fill color="#FFFFFF" opacity="100.0%" type="solid"/>
                  <v:stroke filltype="solid" color="#7F7F7F" opacity="100.0%" weight="0.8pt" dashstyle="solid" endcap="flat" joinstyle="round" linestyle="single" startarrow="none" startarrowwidth="medium" startarrowlength="medium" endarrow="none" endarrowwidth="medium" endarrowlength="medium"/>
                </v:rect>
                <v:rect id="_x0000_s1031" style="position:absolute;left:0;top:0;width:3053716;height:1647825;">
                  <v:fill on="f"/>
                  <v:stroke on="f" weight="1.0pt" dashstyle="solid" endcap="flat" miterlimit="400.0%" joinstyle="miter" linestyle="single" startarrow="none" startarrowwidth="medium" startarrowlength="medium" endarrow="none" endarrowwidth="medium" endarrowlength="medium"/>
                  <v:textbox>
                    <w:txbxContent>
                      <w:p>
                        <w:pPr>
                          <w:pStyle w:val="Обычный"/>
                          <w:spacing w:after="40"/>
                          <w:jc w:val="center"/>
                        </w:pPr>
                        <w:r>
                          <w:rPr>
                            <w:rtl w:val="0"/>
                            <w:lang w:val="en-US"/>
                          </w:rPr>
                          <w:t>Key to progress indicator colours</w:t>
                        </w:r>
                      </w:p>
                      <w:p>
                        <w:pPr>
                          <w:pStyle w:val="Обычный"/>
                          <w:spacing w:after="0" w:line="240" w:lineRule="auto"/>
                          <w:rPr>
                            <w:rFonts w:ascii="Times New Roman" w:cs="Times New Roman" w:hAnsi="Times New Roman" w:eastAsia="Times New Roman"/>
                            <w:sz w:val="18"/>
                            <w:szCs w:val="18"/>
                          </w:rPr>
                        </w:pPr>
                        <w:r>
                          <w:tab/>
                        </w:r>
                        <w:r>
                          <w:rPr>
                            <w:rFonts w:ascii="Times New Roman" w:hAnsi="Times New Roman"/>
                            <w:sz w:val="18"/>
                            <w:szCs w:val="18"/>
                            <w:rtl w:val="0"/>
                            <w:lang w:val="en-US"/>
                          </w:rPr>
                          <w:t xml:space="preserve">Initiatives / projects on schedule </w:t>
                        </w:r>
                      </w:p>
                      <w:p>
                        <w:pPr>
                          <w:pStyle w:val="Обычный"/>
                          <w:spacing w:after="0" w:line="240" w:lineRule="auto"/>
                          <w:rPr>
                            <w:rFonts w:ascii="Times New Roman" w:cs="Times New Roman" w:hAnsi="Times New Roman" w:eastAsia="Times New Roman"/>
                            <w:sz w:val="18"/>
                            <w:szCs w:val="18"/>
                          </w:rPr>
                        </w:pPr>
                        <w:r>
                          <w:tab/>
                        </w:r>
                        <w:r>
                          <w:rPr>
                            <w:rFonts w:ascii="Times New Roman" w:hAnsi="Times New Roman"/>
                            <w:sz w:val="18"/>
                            <w:szCs w:val="18"/>
                            <w:rtl w:val="0"/>
                            <w:lang w:val="en-US"/>
                          </w:rPr>
                          <w:t>Initiatives / projects behind schedule</w:t>
                        </w:r>
                      </w:p>
                      <w:p>
                        <w:pPr>
                          <w:pStyle w:val="Обычный"/>
                          <w:spacing w:after="0" w:line="240" w:lineRule="auto"/>
                          <w:rPr>
                            <w:rFonts w:ascii="Times New Roman" w:cs="Times New Roman" w:hAnsi="Times New Roman" w:eastAsia="Times New Roman"/>
                            <w:sz w:val="18"/>
                            <w:szCs w:val="18"/>
                          </w:rPr>
                        </w:pPr>
                        <w:r>
                          <w:tab/>
                        </w:r>
                        <w:r>
                          <w:rPr>
                            <w:rFonts w:ascii="Times New Roman" w:hAnsi="Times New Roman"/>
                            <w:sz w:val="18"/>
                            <w:szCs w:val="18"/>
                            <w:rtl w:val="0"/>
                            <w:lang w:val="en-US"/>
                          </w:rPr>
                          <w:t xml:space="preserve">Serious difficulties being experienced </w:t>
                        </w:r>
                        <w:r>
                          <w:rPr>
                            <w:rFonts w:ascii="Times New Roman" w:hAnsi="Times New Roman" w:hint="default"/>
                            <w:sz w:val="18"/>
                            <w:szCs w:val="18"/>
                            <w:rtl w:val="0"/>
                            <w:lang w:val="en-US"/>
                          </w:rPr>
                          <w:t xml:space="preserve">– </w:t>
                        </w:r>
                        <w:r>
                          <w:rPr>
                            <w:rFonts w:ascii="Times New Roman" w:hAnsi="Times New Roman"/>
                            <w:sz w:val="18"/>
                            <w:szCs w:val="18"/>
                            <w:rtl w:val="0"/>
                            <w:lang w:val="en-US"/>
                          </w:rPr>
                          <w:t>Internal factors</w:t>
                        </w:r>
                      </w:p>
                      <w:p>
                        <w:pPr>
                          <w:pStyle w:val="Обычный"/>
                          <w:spacing w:after="0" w:line="240" w:lineRule="auto"/>
                          <w:rPr>
                            <w:rFonts w:ascii="Times New Roman" w:cs="Times New Roman" w:hAnsi="Times New Roman" w:eastAsia="Times New Roman"/>
                            <w:sz w:val="18"/>
                            <w:szCs w:val="18"/>
                          </w:rPr>
                        </w:pPr>
                        <w:r>
                          <w:tab/>
                        </w:r>
                        <w:r>
                          <w:rPr>
                            <w:rFonts w:ascii="Times New Roman" w:hAnsi="Times New Roman"/>
                            <w:sz w:val="18"/>
                            <w:szCs w:val="18"/>
                            <w:rtl w:val="0"/>
                            <w:lang w:val="en-US"/>
                          </w:rPr>
                          <w:t xml:space="preserve">Serious difficulties being experienced </w:t>
                        </w:r>
                        <w:r>
                          <w:rPr>
                            <w:rFonts w:ascii="Times New Roman" w:hAnsi="Times New Roman" w:hint="default"/>
                            <w:sz w:val="18"/>
                            <w:szCs w:val="18"/>
                            <w:rtl w:val="0"/>
                            <w:lang w:val="en-US"/>
                          </w:rPr>
                          <w:t xml:space="preserve">– </w:t>
                        </w:r>
                        <w:r>
                          <w:rPr>
                            <w:rFonts w:ascii="Times New Roman" w:hAnsi="Times New Roman"/>
                            <w:sz w:val="18"/>
                            <w:szCs w:val="18"/>
                            <w:rtl w:val="0"/>
                            <w:lang w:val="en-US"/>
                          </w:rPr>
                          <w:t>External factors (beyond the control of the WG)</w:t>
                        </w:r>
                      </w:p>
                      <w:p>
                        <w:pPr>
                          <w:pStyle w:val="Обычный"/>
                          <w:spacing w:after="0" w:line="240" w:lineRule="auto"/>
                          <w:rPr>
                            <w:rFonts w:ascii="Times New Roman" w:cs="Times New Roman" w:hAnsi="Times New Roman" w:eastAsia="Times New Roman"/>
                            <w:sz w:val="18"/>
                            <w:szCs w:val="18"/>
                          </w:rPr>
                        </w:pPr>
                        <w:r>
                          <w:tab/>
                        </w:r>
                        <w:r>
                          <w:rPr>
                            <w:rFonts w:ascii="Times New Roman" w:hAnsi="Times New Roman"/>
                            <w:sz w:val="18"/>
                            <w:szCs w:val="18"/>
                            <w:rtl w:val="0"/>
                            <w:lang w:val="en-US"/>
                          </w:rPr>
                          <w:t>Not yet scheduled to start</w:t>
                        </w:r>
                      </w:p>
                      <w:p>
                        <w:pPr>
                          <w:pStyle w:val="Обычный"/>
                          <w:spacing w:after="0" w:line="260" w:lineRule="atLeast"/>
                        </w:pPr>
                        <w:r>
                          <w:tab/>
                        </w:r>
                        <w:r>
                          <w:rPr>
                            <w:rFonts w:ascii="Times New Roman" w:hAnsi="Times New Roman"/>
                            <w:sz w:val="20"/>
                            <w:szCs w:val="20"/>
                            <w:rtl w:val="0"/>
                            <w:lang w:val="en-US"/>
                          </w:rPr>
                          <w:t xml:space="preserve">Initiatives  / projects completed </w:t>
                        </w:r>
                      </w:p>
                    </w:txbxContent>
                  </v:textbox>
                </v:rect>
              </v:group>
            </w:pict>
          </mc:Fallback>
        </mc:AlternateContent>
      </w:r>
      <w:r>
        <mc:AlternateContent>
          <mc:Choice Requires="wpg">
            <w:drawing>
              <wp:anchor distT="0" distB="0" distL="0" distR="0" simplePos="0" relativeHeight="251660288" behindDoc="0" locked="0" layoutInCell="1" allowOverlap="1">
                <wp:simplePos x="0" y="0"/>
                <wp:positionH relativeFrom="page">
                  <wp:posOffset>914400</wp:posOffset>
                </wp:positionH>
                <wp:positionV relativeFrom="line">
                  <wp:posOffset>188276</wp:posOffset>
                </wp:positionV>
                <wp:extent cx="5774057" cy="307975"/>
                <wp:effectExtent l="0" t="0" r="0" b="0"/>
                <wp:wrapNone/>
                <wp:docPr id="1073741833" name="officeArt object"/>
                <wp:cNvGraphicFramePr/>
                <a:graphic xmlns:a="http://schemas.openxmlformats.org/drawingml/2006/main">
                  <a:graphicData uri="http://schemas.microsoft.com/office/word/2010/wordprocessingGroup">
                    <wpg:wgp>
                      <wpg:cNvGrpSpPr/>
                      <wpg:grpSpPr>
                        <a:xfrm>
                          <a:off x="0" y="0"/>
                          <a:ext cx="5774057" cy="307975"/>
                          <a:chOff x="0" y="0"/>
                          <a:chExt cx="5774056" cy="307975"/>
                        </a:xfrm>
                      </wpg:grpSpPr>
                      <wps:wsp>
                        <wps:cNvPr id="1073741831" name="Shape 1073741831"/>
                        <wps:cNvSpPr/>
                        <wps:spPr>
                          <a:xfrm>
                            <a:off x="-1" y="0"/>
                            <a:ext cx="5774057" cy="307975"/>
                          </a:xfrm>
                          <a:prstGeom prst="rect">
                            <a:avLst/>
                          </a:prstGeom>
                          <a:solidFill>
                            <a:srgbClr val="FFFFFF"/>
                          </a:solidFill>
                          <a:ln w="9525" cap="flat">
                            <a:solidFill>
                              <a:srgbClr val="7F7F7F"/>
                            </a:solidFill>
                            <a:prstDash val="solid"/>
                            <a:round/>
                          </a:ln>
                          <a:effectLst/>
                        </wps:spPr>
                        <wps:bodyPr/>
                      </wps:wsp>
                      <wps:wsp>
                        <wps:cNvPr id="1073741832" name="Shape 1073741832"/>
                        <wps:cNvSpPr/>
                        <wps:spPr>
                          <a:xfrm>
                            <a:off x="-1" y="0"/>
                            <a:ext cx="5774057" cy="307975"/>
                          </a:xfrm>
                          <a:prstGeom prst="rect">
                            <a:avLst/>
                          </a:prstGeom>
                          <a:noFill/>
                          <a:ln w="12700" cap="flat">
                            <a:noFill/>
                            <a:miter lim="400000"/>
                          </a:ln>
                          <a:effectLst/>
                        </wps:spPr>
                        <wps:txbx>
                          <w:txbxContent>
                            <w:p>
                              <w:pPr>
                                <w:pStyle w:val="Обычный"/>
                              </w:pPr>
                              <w:r>
                                <w:rPr>
                                  <w:rFonts w:ascii="Times New Roman" w:hAnsi="Times New Roman"/>
                                  <w:b w:val="1"/>
                                  <w:bCs w:val="1"/>
                                  <w:sz w:val="28"/>
                                  <w:szCs w:val="28"/>
                                  <w:rtl w:val="0"/>
                                  <w:lang w:val="en-US"/>
                                </w:rPr>
                                <w:t>Report of the INTOSAI Working Group on Public Procurement Audit</w:t>
                              </w:r>
                            </w:p>
                          </w:txbxContent>
                        </wps:txbx>
                        <wps:bodyPr wrap="square" lIns="45718" tIns="45718" rIns="45718" bIns="45718" numCol="1" anchor="t">
                          <a:noAutofit/>
                        </wps:bodyPr>
                      </wps:wsp>
                    </wpg:wgp>
                  </a:graphicData>
                </a:graphic>
              </wp:anchor>
            </w:drawing>
          </mc:Choice>
          <mc:Fallback>
            <w:pict>
              <v:group id="_x0000_s1032" style="visibility:visible;position:absolute;margin-left:72.0pt;margin-top:14.8pt;width:454.7pt;height:24.2pt;z-index:251660288;mso-position-horizontal:absolute;mso-position-horizontal-relative:page;mso-position-vertical:absolute;mso-position-vertical-relative:line;mso-wrap-distance-left:0.0pt;mso-wrap-distance-top:0.0pt;mso-wrap-distance-right:0.0pt;mso-wrap-distance-bottom:0.0pt;" coordorigin="0,0" coordsize="5774056,307975">
                <w10:wrap type="none" side="bothSides" anchorx="page"/>
                <v:rect id="_x0000_s1033" style="position:absolute;left:0;top:0;width:5774056;height:307975;">
                  <v:fill color="#FFFFFF" opacity="100.0%" type="solid"/>
                  <v:stroke filltype="solid" color="#7F7F7F" opacity="100.0%" weight="0.8pt" dashstyle="solid" endcap="flat" joinstyle="round" linestyle="single" startarrow="none" startarrowwidth="medium" startarrowlength="medium" endarrow="none" endarrowwidth="medium" endarrowlength="medium"/>
                </v:rect>
                <v:rect id="_x0000_s1034" style="position:absolute;left:0;top:0;width:5774056;height:307975;">
                  <v:fill on="f"/>
                  <v:stroke on="f" weight="1.0pt" dashstyle="solid" endcap="flat" miterlimit="400.0%" joinstyle="miter" linestyle="single" startarrow="none" startarrowwidth="medium" startarrowlength="medium" endarrow="none" endarrowwidth="medium" endarrowlength="medium"/>
                  <v:textbox>
                    <w:txbxContent>
                      <w:p>
                        <w:pPr>
                          <w:pStyle w:val="Обычный"/>
                        </w:pPr>
                        <w:r>
                          <w:rPr>
                            <w:rFonts w:ascii="Times New Roman" w:hAnsi="Times New Roman"/>
                            <w:b w:val="1"/>
                            <w:bCs w:val="1"/>
                            <w:sz w:val="28"/>
                            <w:szCs w:val="28"/>
                            <w:rtl w:val="0"/>
                            <w:lang w:val="en-US"/>
                          </w:rPr>
                          <w:t>Report of the INTOSAI Working Group on Public Procurement Audit</w:t>
                        </w:r>
                      </w:p>
                    </w:txbxContent>
                  </v:textbox>
                </v:rect>
              </v:group>
            </w:pict>
          </mc:Fallback>
        </mc:AlternateContent>
      </w:r>
    </w:p>
    <w:p>
      <w:pPr>
        <w:pStyle w:val="Обычный"/>
        <w:spacing w:after="120" w:line="240" w:lineRule="auto"/>
        <w:ind w:left="720" w:hanging="720"/>
        <w:rPr>
          <w:rFonts w:ascii="Cambria" w:cs="Cambria" w:hAnsi="Cambria" w:eastAsia="Cambria"/>
          <w:b w:val="1"/>
          <w:bCs w:val="1"/>
          <w:color w:val="008080"/>
          <w:sz w:val="20"/>
          <w:szCs w:val="20"/>
          <w:u w:color="008080"/>
        </w:rPr>
      </w:pPr>
    </w:p>
    <w:p>
      <w:pPr>
        <w:pStyle w:val="Обычный"/>
        <w:spacing w:after="120" w:line="240" w:lineRule="auto"/>
        <w:ind w:left="720" w:hanging="720"/>
        <w:rPr>
          <w:rFonts w:ascii="Cambria" w:cs="Cambria" w:hAnsi="Cambria" w:eastAsia="Cambria"/>
          <w:b w:val="1"/>
          <w:bCs w:val="1"/>
          <w:color w:val="008080"/>
          <w:sz w:val="20"/>
          <w:szCs w:val="20"/>
          <w:u w:color="008080"/>
        </w:rPr>
      </w:pPr>
    </w:p>
    <w:p>
      <w:pPr>
        <w:pStyle w:val="Обычный"/>
        <w:spacing w:after="120" w:line="240" w:lineRule="auto"/>
        <w:ind w:left="720" w:hanging="720"/>
        <w:rPr>
          <w:rFonts w:ascii="Cambria" w:cs="Cambria" w:hAnsi="Cambria" w:eastAsia="Cambria"/>
          <w:b w:val="1"/>
          <w:bCs w:val="1"/>
          <w:color w:val="008080"/>
          <w:sz w:val="20"/>
          <w:szCs w:val="20"/>
          <w:u w:color="008080"/>
        </w:rPr>
      </w:pPr>
      <w:r>
        <w:rPr>
          <w:rFonts w:ascii="Cambria" w:cs="Cambria" w:hAnsi="Cambria" w:eastAsia="Cambria"/>
          <w:b w:val="1"/>
          <w:bCs w:val="1"/>
          <w:color w:val="008080"/>
          <w:sz w:val="20"/>
          <w:szCs w:val="20"/>
          <w:u w:color="008080"/>
          <w:rtl w:val="0"/>
          <w:lang w:val="en-US"/>
        </w:rPr>
        <w:t>Strategic objectives review report (</w:t>
      </w:r>
      <w:r>
        <w:rPr>
          <w:rFonts w:ascii="Cambria" w:cs="Cambria" w:hAnsi="Cambria" w:eastAsia="Cambria"/>
          <w:b w:val="1"/>
          <w:bCs w:val="1"/>
          <w:color w:val="008080"/>
          <w:sz w:val="20"/>
          <w:szCs w:val="20"/>
          <w:u w:color="008080"/>
          <w:rtl w:val="0"/>
          <w:lang w:val="ru-RU"/>
        </w:rPr>
        <w:t>29.07.2021</w:t>
      </w:r>
      <w:r>
        <w:rPr>
          <w:rFonts w:ascii="Cambria" w:cs="Cambria" w:hAnsi="Cambria" w:eastAsia="Cambria"/>
          <w:b w:val="1"/>
          <w:bCs w:val="1"/>
          <w:color w:val="008080"/>
          <w:sz w:val="20"/>
          <w:szCs w:val="20"/>
          <w:u w:color="008080"/>
          <w:rtl w:val="0"/>
          <w:lang w:val="en-US"/>
        </w:rPr>
        <w:t>)</w:t>
      </w:r>
    </w:p>
    <w:p>
      <w:pPr>
        <w:pStyle w:val="Обычный"/>
        <w:spacing w:after="120" w:line="240" w:lineRule="auto"/>
        <w:ind w:left="720" w:hanging="720"/>
        <w:rPr>
          <w:rFonts w:ascii="Cambria" w:cs="Cambria" w:hAnsi="Cambria" w:eastAsia="Cambria"/>
          <w:sz w:val="20"/>
          <w:szCs w:val="20"/>
        </w:rPr>
      </w:pPr>
    </w:p>
    <w:p>
      <w:pPr>
        <w:pStyle w:val="Обычный"/>
        <w:spacing w:after="120" w:line="240" w:lineRule="auto"/>
        <w:ind w:left="720" w:hanging="720"/>
        <w:rPr>
          <w:rFonts w:ascii="Cambria" w:cs="Cambria" w:hAnsi="Cambria" w:eastAsia="Cambria"/>
          <w:sz w:val="24"/>
          <w:szCs w:val="24"/>
          <w:u w:val="single"/>
        </w:rPr>
      </w:pPr>
      <w:r>
        <w:rPr>
          <w:rFonts w:ascii="Cambria" w:cs="Cambria" w:hAnsi="Cambria" w:eastAsia="Cambria"/>
          <w:sz w:val="24"/>
          <w:szCs w:val="24"/>
          <w:u w:val="single"/>
          <w:rtl w:val="0"/>
          <w:lang w:val="en-US"/>
        </w:rPr>
        <w:t>For Strategic Objective 3 of the INTOSAI Strategic Plan 2017-22</w:t>
      </w:r>
    </w:p>
    <w:tbl>
      <w:tblPr>
        <w:tblW w:w="15213" w:type="dxa"/>
        <w:jc w:val="left"/>
        <w:tblInd w:w="324"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232"/>
        <w:gridCol w:w="3913"/>
        <w:gridCol w:w="3682"/>
        <w:gridCol w:w="5386"/>
      </w:tblGrid>
      <w:tr>
        <w:tblPrEx>
          <w:shd w:val="clear" w:color="auto" w:fill="ced7e7"/>
        </w:tblPrEx>
        <w:trPr>
          <w:trHeight w:val="582" w:hRule="atLeast"/>
        </w:trPr>
        <w:tc>
          <w:tcPr>
            <w:tcW w:type="dxa" w:w="223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244061"/>
            <w:tcMar>
              <w:top w:type="dxa" w:w="80"/>
              <w:left w:type="dxa" w:w="80"/>
              <w:bottom w:type="dxa" w:w="80"/>
              <w:right w:type="dxa" w:w="80"/>
            </w:tcMar>
            <w:vAlign w:val="center"/>
          </w:tcPr>
          <w:p>
            <w:pPr>
              <w:pStyle w:val="Обычный"/>
              <w:spacing w:before="120" w:after="120" w:line="240" w:lineRule="auto"/>
              <w:jc w:val="center"/>
              <w:rPr>
                <w:rFonts w:ascii="Cambria" w:cs="Cambria" w:hAnsi="Cambria" w:eastAsia="Cambria"/>
                <w:b w:val="1"/>
                <w:bCs w:val="1"/>
                <w:color w:val="ffffff"/>
                <w:sz w:val="20"/>
                <w:szCs w:val="20"/>
                <w:u w:color="ffffff"/>
              </w:rPr>
            </w:pPr>
            <w:r>
              <w:rPr>
                <w:rFonts w:ascii="Cambria" w:cs="Cambria" w:hAnsi="Cambria" w:eastAsia="Cambria"/>
                <w:b w:val="1"/>
                <w:bCs w:val="1"/>
                <w:color w:val="ffffff"/>
                <w:sz w:val="20"/>
                <w:szCs w:val="20"/>
                <w:u w:color="ffffff"/>
                <w:rtl w:val="0"/>
                <w:lang w:val="en-US"/>
              </w:rPr>
              <w:t>Strategic objective</w:t>
            </w:r>
          </w:p>
          <w:p>
            <w:pPr>
              <w:pStyle w:val="Обычный"/>
              <w:spacing w:before="120" w:after="120" w:line="240" w:lineRule="auto"/>
              <w:jc w:val="center"/>
            </w:pPr>
            <w:r>
              <w:rPr>
                <w:rFonts w:ascii="Cambria" w:cs="Cambria" w:hAnsi="Cambria" w:eastAsia="Cambria"/>
                <w:color w:val="ffffff"/>
                <w:sz w:val="20"/>
                <w:szCs w:val="20"/>
                <w:u w:color="ffffff"/>
                <w:rtl w:val="0"/>
                <w:lang w:val="en-US"/>
              </w:rPr>
              <w:t>(as per SP 2017-22)</w:t>
            </w:r>
          </w:p>
        </w:tc>
        <w:tc>
          <w:tcPr>
            <w:tcW w:type="dxa" w:w="391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244061"/>
            <w:tcMar>
              <w:top w:type="dxa" w:w="80"/>
              <w:left w:type="dxa" w:w="80"/>
              <w:bottom w:type="dxa" w:w="80"/>
              <w:right w:type="dxa" w:w="80"/>
            </w:tcMar>
            <w:vAlign w:val="center"/>
          </w:tcPr>
          <w:p>
            <w:pPr>
              <w:pStyle w:val="Обычный"/>
              <w:spacing w:before="120" w:after="120" w:line="240" w:lineRule="auto"/>
              <w:jc w:val="center"/>
              <w:rPr>
                <w:rFonts w:ascii="Cambria" w:cs="Cambria" w:hAnsi="Cambria" w:eastAsia="Cambria"/>
                <w:b w:val="1"/>
                <w:bCs w:val="1"/>
                <w:color w:val="ffffff"/>
                <w:sz w:val="20"/>
                <w:szCs w:val="20"/>
                <w:u w:color="ffffff"/>
              </w:rPr>
            </w:pPr>
            <w:r>
              <w:rPr>
                <w:rFonts w:ascii="Cambria" w:cs="Cambria" w:hAnsi="Cambria" w:eastAsia="Cambria"/>
                <w:b w:val="1"/>
                <w:bCs w:val="1"/>
                <w:color w:val="ffffff"/>
                <w:sz w:val="20"/>
                <w:szCs w:val="20"/>
                <w:u w:color="ffffff"/>
                <w:rtl w:val="0"/>
                <w:lang w:val="en-US"/>
              </w:rPr>
              <w:t xml:space="preserve">Strategies &amp; initiatives </w:t>
            </w:r>
          </w:p>
          <w:p>
            <w:pPr>
              <w:pStyle w:val="Обычный"/>
              <w:spacing w:before="120" w:after="120" w:line="240" w:lineRule="auto"/>
              <w:jc w:val="center"/>
            </w:pPr>
            <w:r>
              <w:rPr>
                <w:rFonts w:ascii="Cambria" w:cs="Cambria" w:hAnsi="Cambria" w:eastAsia="Cambria"/>
                <w:color w:val="ffffff"/>
                <w:sz w:val="20"/>
                <w:szCs w:val="20"/>
                <w:u w:color="ffffff"/>
                <w:rtl w:val="0"/>
                <w:lang w:val="en-US"/>
              </w:rPr>
              <w:t>(as per SP 2017-22)</w:t>
            </w:r>
          </w:p>
        </w:tc>
        <w:tc>
          <w:tcPr>
            <w:tcW w:type="dxa" w:w="36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244061"/>
            <w:tcMar>
              <w:top w:type="dxa" w:w="80"/>
              <w:left w:type="dxa" w:w="80"/>
              <w:bottom w:type="dxa" w:w="80"/>
              <w:right w:type="dxa" w:w="80"/>
            </w:tcMar>
            <w:vAlign w:val="center"/>
          </w:tcPr>
          <w:p>
            <w:pPr>
              <w:pStyle w:val="Обычный"/>
              <w:spacing w:before="120" w:after="120" w:line="240" w:lineRule="auto"/>
              <w:jc w:val="center"/>
              <w:rPr>
                <w:rFonts w:ascii="Cambria" w:cs="Cambria" w:hAnsi="Cambria" w:eastAsia="Cambria"/>
                <w:b w:val="1"/>
                <w:bCs w:val="1"/>
                <w:color w:val="ffffff"/>
                <w:sz w:val="20"/>
                <w:szCs w:val="20"/>
                <w:u w:color="ffffff"/>
              </w:rPr>
            </w:pPr>
            <w:r>
              <w:rPr>
                <w:rFonts w:ascii="Cambria" w:cs="Cambria" w:hAnsi="Cambria" w:eastAsia="Cambria"/>
                <w:b w:val="1"/>
                <w:bCs w:val="1"/>
                <w:color w:val="ffffff"/>
                <w:sz w:val="20"/>
                <w:szCs w:val="20"/>
                <w:u w:color="ffffff"/>
                <w:rtl w:val="0"/>
                <w:lang w:val="en-US"/>
              </w:rPr>
              <w:t xml:space="preserve">Performance  </w:t>
            </w:r>
          </w:p>
          <w:p>
            <w:pPr>
              <w:pStyle w:val="Обычный"/>
              <w:spacing w:before="120" w:after="120" w:line="240" w:lineRule="auto"/>
              <w:jc w:val="center"/>
            </w:pPr>
            <w:r>
              <w:rPr>
                <w:rFonts w:ascii="Cambria" w:cs="Cambria" w:hAnsi="Cambria" w:eastAsia="Cambria"/>
                <w:b w:val="1"/>
                <w:bCs w:val="1"/>
                <w:color w:val="ffffff"/>
                <w:sz w:val="20"/>
                <w:szCs w:val="20"/>
                <w:u w:color="ffffff"/>
                <w:rtl w:val="0"/>
                <w:lang w:val="en-US"/>
              </w:rPr>
              <w:t>indicator</w:t>
            </w:r>
          </w:p>
        </w:tc>
        <w:tc>
          <w:tcPr>
            <w:tcW w:type="dxa" w:w="53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244061"/>
            <w:tcMar>
              <w:top w:type="dxa" w:w="80"/>
              <w:left w:type="dxa" w:w="80"/>
              <w:bottom w:type="dxa" w:w="80"/>
              <w:right w:type="dxa" w:w="80"/>
            </w:tcMar>
            <w:vAlign w:val="center"/>
          </w:tcPr>
          <w:p>
            <w:pPr>
              <w:pStyle w:val="Обычный"/>
              <w:spacing w:before="120" w:after="120" w:line="240" w:lineRule="auto"/>
              <w:jc w:val="center"/>
              <w:rPr>
                <w:rFonts w:ascii="Cambria" w:cs="Cambria" w:hAnsi="Cambria" w:eastAsia="Cambria"/>
                <w:b w:val="1"/>
                <w:bCs w:val="1"/>
                <w:color w:val="ffffff"/>
                <w:sz w:val="20"/>
                <w:szCs w:val="20"/>
                <w:u w:color="ffffff"/>
              </w:rPr>
            </w:pPr>
            <w:r>
              <w:rPr>
                <w:rFonts w:ascii="Cambria" w:cs="Cambria" w:hAnsi="Cambria" w:eastAsia="Cambria"/>
                <w:b w:val="1"/>
                <w:bCs w:val="1"/>
                <w:color w:val="ffffff"/>
                <w:sz w:val="20"/>
                <w:szCs w:val="20"/>
                <w:u w:color="ffffff"/>
                <w:rtl w:val="0"/>
                <w:lang w:val="en-US"/>
              </w:rPr>
              <w:t>Action items</w:t>
            </w:r>
          </w:p>
          <w:p>
            <w:pPr>
              <w:pStyle w:val="Обычный"/>
              <w:spacing w:before="120" w:after="120" w:line="240" w:lineRule="auto"/>
              <w:jc w:val="center"/>
            </w:pPr>
            <w:r>
              <w:rPr>
                <w:rFonts w:ascii="Cambria" w:cs="Cambria" w:hAnsi="Cambria" w:eastAsia="Cambria"/>
                <w:b w:val="1"/>
                <w:bCs w:val="1"/>
                <w:color w:val="ffffff"/>
                <w:sz w:val="20"/>
                <w:szCs w:val="20"/>
                <w:u w:color="ffffff"/>
                <w:rtl w:val="0"/>
                <w:lang w:val="en-US"/>
              </w:rPr>
              <w:t xml:space="preserve">and other comment </w:t>
            </w:r>
          </w:p>
        </w:tc>
      </w:tr>
      <w:tr>
        <w:tblPrEx>
          <w:shd w:val="clear" w:color="auto" w:fill="ced7e7"/>
        </w:tblPrEx>
        <w:trPr>
          <w:trHeight w:val="4472" w:hRule="atLeast"/>
        </w:trPr>
        <w:tc>
          <w:tcPr>
            <w:tcW w:type="dxa" w:w="223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spacing w:before="120" w:after="120" w:line="240" w:lineRule="auto"/>
            </w:pPr>
            <w:r>
              <w:rPr>
                <w:rFonts w:ascii="Cambria" w:cs="Cambria" w:hAnsi="Cambria" w:eastAsia="Cambria"/>
                <w:sz w:val="20"/>
                <w:szCs w:val="20"/>
                <w:rtl w:val="0"/>
                <w:lang w:val="en-US"/>
              </w:rPr>
              <w:t>Develop and maintain expertise in the various fields of public-sector auditing and help to provide content to the INTOSAI Framework for Professional Pronouncements</w:t>
            </w:r>
          </w:p>
        </w:tc>
        <w:tc>
          <w:tcPr>
            <w:tcW w:type="dxa" w:w="3913"/>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spacing w:before="120" w:after="120" w:line="240" w:lineRule="auto"/>
              <w:jc w:val="both"/>
            </w:pPr>
            <w:r>
              <w:rPr>
                <w:rFonts w:ascii="Times New Roman" w:hAnsi="Times New Roman"/>
                <w:sz w:val="20"/>
                <w:szCs w:val="20"/>
                <w:rtl w:val="0"/>
                <w:lang w:val="en-US"/>
              </w:rPr>
              <w:t>Preparation of new INTOSAI products and product lines: The KSC, in collaboration with other INTOSAI entities, has work plans and milestones for development of new standards and guidance for consideration by the common forum, and other INTOSAI products during 2017</w:t>
            </w:r>
            <w:r>
              <w:rPr>
                <w:rFonts w:ascii="Times New Roman" w:hAnsi="Times New Roman" w:hint="default"/>
                <w:sz w:val="20"/>
                <w:szCs w:val="20"/>
                <w:rtl w:val="0"/>
                <w:lang w:val="en-US"/>
              </w:rPr>
              <w:t>–</w:t>
            </w:r>
            <w:r>
              <w:rPr>
                <w:rFonts w:ascii="Times New Roman" w:hAnsi="Times New Roman"/>
                <w:sz w:val="20"/>
                <w:szCs w:val="20"/>
                <w:rtl w:val="0"/>
                <w:lang w:val="en-US"/>
              </w:rPr>
              <w:t>2022. The KSC works closely with other stakeholders to develop products for INTOSAI</w:t>
            </w:r>
            <w:r>
              <w:rPr>
                <w:rFonts w:ascii="Times New Roman" w:hAnsi="Times New Roman" w:hint="default"/>
                <w:sz w:val="20"/>
                <w:szCs w:val="20"/>
                <w:rtl w:val="0"/>
                <w:lang w:val="en-US"/>
              </w:rPr>
              <w:t>’</w:t>
            </w:r>
            <w:r>
              <w:rPr>
                <w:rFonts w:ascii="Times New Roman" w:hAnsi="Times New Roman"/>
                <w:sz w:val="20"/>
                <w:szCs w:val="20"/>
                <w:rtl w:val="0"/>
                <w:lang w:val="en-US"/>
              </w:rPr>
              <w:t>s efforts to support the implementation where appropriate and contribute to the follow-up and review of the SDGs.</w:t>
            </w:r>
          </w:p>
        </w:tc>
        <w:tc>
          <w:tcPr>
            <w:tcW w:type="dxa" w:w="36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99cc00"/>
            <w:tcMar>
              <w:top w:type="dxa" w:w="80"/>
              <w:left w:type="dxa" w:w="80"/>
              <w:bottom w:type="dxa" w:w="80"/>
              <w:right w:type="dxa" w:w="80"/>
            </w:tcMar>
            <w:vAlign w:val="top"/>
          </w:tcPr>
          <w:p>
            <w:pPr>
              <w:pStyle w:val="Обычный"/>
              <w:numPr>
                <w:ilvl w:val="0"/>
                <w:numId w:val="1"/>
              </w:numPr>
              <w:spacing w:before="120" w:after="120" w:line="240" w:lineRule="auto"/>
              <w:rPr>
                <w:rFonts w:ascii="Times New Roman" w:hAnsi="Times New Roman"/>
                <w:sz w:val="20"/>
                <w:szCs w:val="20"/>
                <w:lang w:val="en-US"/>
              </w:rPr>
            </w:pPr>
            <w:r>
              <w:rPr>
                <w:rFonts w:ascii="Times New Roman" w:hAnsi="Times New Roman"/>
                <w:sz w:val="20"/>
                <w:szCs w:val="20"/>
                <w:rtl w:val="0"/>
                <w:lang w:val="en-US"/>
              </w:rPr>
              <w:t>Exposure Draft of the GUID was updated with comments from PAS, CAS, TSF and WGPPA members</w:t>
            </w:r>
          </w:p>
          <w:p>
            <w:pPr>
              <w:pStyle w:val="Обычный"/>
              <w:numPr>
                <w:ilvl w:val="0"/>
                <w:numId w:val="1"/>
              </w:numPr>
              <w:bidi w:val="0"/>
              <w:spacing w:before="120" w:after="120" w:line="240" w:lineRule="auto"/>
              <w:ind w:right="0"/>
              <w:jc w:val="left"/>
              <w:rPr>
                <w:rFonts w:ascii="Times New Roman" w:hAnsi="Times New Roman"/>
                <w:sz w:val="20"/>
                <w:szCs w:val="20"/>
                <w:rtl w:val="0"/>
                <w:lang w:val="en-US"/>
              </w:rPr>
            </w:pPr>
            <w:r>
              <w:rPr>
                <w:rFonts w:ascii="Times New Roman" w:hAnsi="Times New Roman"/>
                <w:sz w:val="20"/>
                <w:szCs w:val="20"/>
                <w:rtl w:val="0"/>
                <w:lang w:val="en-US"/>
              </w:rPr>
              <w:t xml:space="preserve">The revised Exposure draft of the GUID according to the FIPP observations was planned to be accomplished till august </w:t>
            </w:r>
            <w:r>
              <w:rPr>
                <w:rFonts w:ascii="Times New Roman" w:hAnsi="Times New Roman"/>
                <w:sz w:val="20"/>
                <w:szCs w:val="20"/>
                <w:rtl w:val="0"/>
                <w:lang w:val="ru-RU"/>
              </w:rPr>
              <w:t>2021</w:t>
            </w:r>
            <w:r>
              <w:rPr>
                <w:rFonts w:ascii="Times New Roman" w:hAnsi="Times New Roman"/>
                <w:sz w:val="20"/>
                <w:szCs w:val="20"/>
                <w:rtl w:val="0"/>
                <w:lang w:val="en-US"/>
              </w:rPr>
              <w:t>.</w:t>
            </w:r>
          </w:p>
          <w:p>
            <w:pPr>
              <w:pStyle w:val="Обычный"/>
              <w:numPr>
                <w:ilvl w:val="0"/>
                <w:numId w:val="1"/>
              </w:numPr>
              <w:bidi w:val="0"/>
              <w:spacing w:before="120" w:after="120" w:line="240" w:lineRule="auto"/>
              <w:ind w:right="0"/>
              <w:jc w:val="left"/>
              <w:rPr>
                <w:rFonts w:ascii="Times New Roman" w:hAnsi="Times New Roman"/>
                <w:sz w:val="20"/>
                <w:szCs w:val="20"/>
                <w:rtl w:val="0"/>
                <w:lang w:val="en-US"/>
              </w:rPr>
            </w:pPr>
            <w:r>
              <w:rPr>
                <w:rFonts w:ascii="Times New Roman" w:hAnsi="Times New Roman"/>
                <w:sz w:val="20"/>
                <w:szCs w:val="20"/>
                <w:rtl w:val="0"/>
                <w:lang w:val="en-US"/>
              </w:rPr>
              <w:t>The final version of the GUID is planned to be endorsed at GB 2021.</w:t>
            </w:r>
          </w:p>
        </w:tc>
        <w:tc>
          <w:tcPr>
            <w:tcW w:type="dxa" w:w="53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Обычный"/>
              <w:spacing w:before="120" w:after="120" w:line="240" w:lineRule="auto"/>
              <w:jc w:val="both"/>
              <w:rPr>
                <w:rFonts w:ascii="Times New Roman" w:cs="Times New Roman" w:hAnsi="Times New Roman" w:eastAsia="Times New Roman"/>
                <w:b w:val="1"/>
                <w:bCs w:val="1"/>
                <w:sz w:val="20"/>
                <w:szCs w:val="20"/>
              </w:rPr>
            </w:pPr>
            <w:r>
              <w:rPr>
                <w:rFonts w:ascii="Times New Roman" w:hAnsi="Times New Roman"/>
                <w:b w:val="1"/>
                <w:bCs w:val="1"/>
                <w:sz w:val="20"/>
                <w:szCs w:val="20"/>
                <w:rtl w:val="0"/>
                <w:lang w:val="en-US"/>
              </w:rPr>
              <w:t>Progress to date:</w:t>
            </w:r>
          </w:p>
          <w:p>
            <w:pPr>
              <w:pStyle w:val="Обычный"/>
              <w:bidi w:val="0"/>
              <w:spacing w:before="120" w:after="120" w:line="240" w:lineRule="auto"/>
              <w:ind w:left="0" w:right="0" w:firstLine="0"/>
              <w:jc w:val="both"/>
              <w:rPr>
                <w:rFonts w:ascii="Times New Roman" w:cs="Times New Roman" w:hAnsi="Times New Roman" w:eastAsia="Times New Roman"/>
                <w:sz w:val="20"/>
                <w:szCs w:val="20"/>
                <w:rtl w:val="0"/>
              </w:rPr>
            </w:pPr>
            <w:r>
              <w:rPr>
                <w:rFonts w:ascii="Times New Roman" w:hAnsi="Times New Roman"/>
                <w:sz w:val="20"/>
                <w:szCs w:val="20"/>
                <w:rtl w:val="0"/>
                <w:lang w:val="en-US"/>
              </w:rPr>
              <w:t>The Exposure Draft of the FIPP was not endorsed by FIPP in 2020. Additional update with regard to the comments of PAS and CAS were requested.</w:t>
            </w:r>
          </w:p>
          <w:p>
            <w:pPr>
              <w:pStyle w:val="Обычный"/>
              <w:bidi w:val="0"/>
              <w:spacing w:before="120" w:after="120" w:line="240" w:lineRule="auto"/>
              <w:ind w:left="0" w:right="0" w:firstLine="0"/>
              <w:jc w:val="both"/>
              <w:rPr>
                <w:rFonts w:ascii="Times New Roman" w:cs="Times New Roman" w:hAnsi="Times New Roman" w:eastAsia="Times New Roman"/>
                <w:sz w:val="20"/>
                <w:szCs w:val="20"/>
                <w:rtl w:val="0"/>
              </w:rPr>
            </w:pPr>
            <w:r>
              <w:rPr>
                <w:rFonts w:ascii="Times New Roman" w:hAnsi="Times New Roman"/>
                <w:sz w:val="20"/>
                <w:szCs w:val="20"/>
                <w:rtl w:val="0"/>
                <w:lang w:val="en-US"/>
              </w:rPr>
              <w:t>In April-July 2021 the WGPPA received the comments from PAS, CAS, TSF and WGPPA members on the revision of the Exposure Draft.</w:t>
            </w:r>
          </w:p>
          <w:p>
            <w:pPr>
              <w:pStyle w:val="Обычный"/>
              <w:bidi w:val="0"/>
              <w:spacing w:before="120" w:after="120" w:line="240" w:lineRule="auto"/>
              <w:ind w:left="0" w:right="0" w:firstLine="0"/>
              <w:jc w:val="both"/>
              <w:rPr>
                <w:rFonts w:ascii="Times New Roman" w:cs="Times New Roman" w:hAnsi="Times New Roman" w:eastAsia="Times New Roman"/>
                <w:sz w:val="20"/>
                <w:szCs w:val="20"/>
                <w:rtl w:val="0"/>
              </w:rPr>
            </w:pPr>
            <w:r>
              <w:rPr>
                <w:rFonts w:ascii="Times New Roman" w:hAnsi="Times New Roman"/>
                <w:sz w:val="20"/>
                <w:szCs w:val="20"/>
                <w:rtl w:val="0"/>
                <w:lang w:val="en-US"/>
              </w:rPr>
              <w:t xml:space="preserve">The Exposure Draft was updated with regards to the PAS, CAS, TSF and WGPPA members comments and sent alongside the Explanatory Memorandum and Comment Matrix to KSC for FIPP submission. </w:t>
            </w:r>
          </w:p>
          <w:p>
            <w:pPr>
              <w:pStyle w:val="Обычный"/>
              <w:bidi w:val="0"/>
              <w:spacing w:before="120" w:after="120" w:line="240" w:lineRule="auto"/>
              <w:ind w:left="0" w:right="0" w:firstLine="0"/>
              <w:jc w:val="both"/>
              <w:rPr>
                <w:rFonts w:ascii="Times New Roman" w:cs="Times New Roman" w:hAnsi="Times New Roman" w:eastAsia="Times New Roman"/>
                <w:sz w:val="20"/>
                <w:szCs w:val="20"/>
                <w:rtl w:val="0"/>
              </w:rPr>
            </w:pPr>
            <w:r>
              <w:rPr>
                <w:rFonts w:ascii="Times New Roman" w:hAnsi="Times New Roman"/>
                <w:sz w:val="20"/>
                <w:szCs w:val="20"/>
                <w:rtl w:val="0"/>
                <w:lang w:val="en-US"/>
              </w:rPr>
              <w:t>The Exposure Draft is expected to be reviewed during FIPP meetings in September 2021 with a possibility of submitting a revised version in October 2021</w:t>
            </w:r>
            <w:r>
              <w:rPr>
                <w:rFonts w:ascii="Times New Roman" w:hAnsi="Times New Roman"/>
                <w:sz w:val="20"/>
                <w:szCs w:val="20"/>
                <w:rtl w:val="0"/>
                <w:lang w:val="ru-RU"/>
              </w:rPr>
              <w:t xml:space="preserve"> </w:t>
            </w:r>
            <w:r>
              <w:rPr>
                <w:rFonts w:ascii="Times New Roman" w:hAnsi="Times New Roman"/>
                <w:sz w:val="20"/>
                <w:szCs w:val="20"/>
                <w:rtl w:val="0"/>
                <w:lang w:val="en-US"/>
              </w:rPr>
              <w:t>for final endorsement by FIPP</w:t>
            </w:r>
            <w:r>
              <w:rPr>
                <w:rFonts w:ascii="Times New Roman" w:hAnsi="Times New Roman"/>
                <w:sz w:val="20"/>
                <w:szCs w:val="20"/>
                <w:rtl w:val="0"/>
                <w:lang w:val="en-US"/>
              </w:rPr>
              <w:t>.</w:t>
            </w:r>
          </w:p>
          <w:p>
            <w:pPr>
              <w:pStyle w:val="Обычный"/>
              <w:bidi w:val="0"/>
              <w:spacing w:before="120" w:after="120" w:line="240" w:lineRule="auto"/>
              <w:ind w:left="0" w:right="0" w:firstLine="0"/>
              <w:jc w:val="both"/>
              <w:rPr>
                <w:rtl w:val="0"/>
              </w:rPr>
            </w:pPr>
            <w:r>
              <w:rPr>
                <w:rFonts w:ascii="Times New Roman" w:hAnsi="Times New Roman"/>
                <w:sz w:val="20"/>
                <w:szCs w:val="20"/>
                <w:rtl w:val="0"/>
                <w:lang w:val="en-US"/>
              </w:rPr>
              <w:t xml:space="preserve">The GUID 5280 is expected to be endorsed at the Governing Board 2022. </w:t>
            </w:r>
          </w:p>
        </w:tc>
      </w:tr>
      <w:tr>
        <w:tblPrEx>
          <w:shd w:val="clear" w:color="auto" w:fill="ced7e7"/>
        </w:tblPrEx>
        <w:trPr>
          <w:trHeight w:val="5262" w:hRule="atLeast"/>
        </w:trPr>
        <w:tc>
          <w:tcPr>
            <w:tcW w:type="dxa" w:w="223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913"/>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53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1232" w:hRule="atLeast"/>
        </w:trPr>
        <w:tc>
          <w:tcPr>
            <w:tcW w:type="dxa" w:w="223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91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Обычный"/>
              <w:spacing w:before="120" w:after="120" w:line="240" w:lineRule="auto"/>
              <w:jc w:val="both"/>
            </w:pPr>
            <w:r>
              <w:rPr>
                <w:rFonts w:ascii="Cambria" w:cs="Cambria" w:hAnsi="Cambria" w:eastAsia="Cambria"/>
                <w:sz w:val="20"/>
                <w:szCs w:val="20"/>
                <w:rtl w:val="0"/>
                <w:lang w:val="en-US"/>
              </w:rPr>
              <w:t>Revision of ISSAI products: Annual targets for updating and revising existing standards are established for the period 2017</w:t>
            </w:r>
            <w:r>
              <w:rPr>
                <w:rFonts w:ascii="Cambria" w:cs="Cambria" w:hAnsi="Cambria" w:eastAsia="Cambria"/>
                <w:sz w:val="20"/>
                <w:szCs w:val="20"/>
                <w:rtl w:val="0"/>
                <w:lang w:val="en-US"/>
              </w:rPr>
              <w:t>–</w:t>
            </w:r>
            <w:r>
              <w:rPr>
                <w:rFonts w:ascii="Cambria" w:cs="Cambria" w:hAnsi="Cambria" w:eastAsia="Cambria"/>
                <w:sz w:val="20"/>
                <w:szCs w:val="20"/>
                <w:rtl w:val="0"/>
                <w:lang w:val="en-US"/>
              </w:rPr>
              <w:t>2022. This work is done in close collaboration with the PSC and FIPP.</w:t>
            </w:r>
          </w:p>
        </w:tc>
        <w:tc>
          <w:tcPr>
            <w:tcW w:type="dxa" w:w="36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Обычный"/>
              <w:spacing w:before="120" w:after="120" w:line="240" w:lineRule="auto"/>
              <w:jc w:val="center"/>
            </w:pPr>
            <w:r>
              <w:rPr>
                <w:rFonts w:ascii="Arial" w:hAnsi="Arial" w:hint="default"/>
                <w:b w:val="1"/>
                <w:bCs w:val="1"/>
                <w:sz w:val="28"/>
                <w:szCs w:val="28"/>
                <w:rtl w:val="0"/>
                <w:lang w:val="ru-RU"/>
              </w:rPr>
              <w:t>–</w:t>
            </w:r>
          </w:p>
        </w:tc>
        <w:tc>
          <w:tcPr>
            <w:tcW w:type="dxa" w:w="53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Обычный"/>
              <w:spacing w:before="120" w:after="120" w:line="240" w:lineRule="auto"/>
              <w:jc w:val="center"/>
            </w:pPr>
            <w:r>
              <w:rPr>
                <w:rFonts w:ascii="Arial" w:hAnsi="Arial" w:hint="default"/>
                <w:b w:val="1"/>
                <w:bCs w:val="1"/>
                <w:sz w:val="28"/>
                <w:szCs w:val="28"/>
                <w:rtl w:val="0"/>
                <w:lang w:val="ru-RU"/>
              </w:rPr>
              <w:t>–</w:t>
            </w:r>
          </w:p>
        </w:tc>
      </w:tr>
      <w:tr>
        <w:tblPrEx>
          <w:shd w:val="clear" w:color="auto" w:fill="ced7e7"/>
        </w:tblPrEx>
        <w:trPr>
          <w:trHeight w:val="1534" w:hRule="atLeast"/>
        </w:trPr>
        <w:tc>
          <w:tcPr>
            <w:tcW w:type="dxa" w:w="223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Обычный"/>
              <w:spacing w:before="120" w:after="120" w:line="240" w:lineRule="auto"/>
              <w:jc w:val="both"/>
            </w:pPr>
            <w:r>
              <w:rPr>
                <w:rFonts w:ascii="Cambria" w:cs="Cambria" w:hAnsi="Cambria" w:eastAsia="Cambria"/>
                <w:sz w:val="20"/>
                <w:szCs w:val="20"/>
                <w:rtl w:val="0"/>
                <w:lang w:val="en-US"/>
              </w:rPr>
              <w:t>Enable wide exchange of knowledge and experience among INTOSAI members.</w:t>
            </w:r>
          </w:p>
        </w:tc>
        <w:tc>
          <w:tcPr>
            <w:tcW w:type="dxa" w:w="391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spacing w:before="120" w:after="120" w:line="240" w:lineRule="auto"/>
              <w:jc w:val="both"/>
            </w:pPr>
            <w:r>
              <w:rPr>
                <w:rFonts w:ascii="Cambria" w:cs="Cambria" w:hAnsi="Cambria" w:eastAsia="Cambria"/>
                <w:sz w:val="20"/>
                <w:szCs w:val="20"/>
                <w:rtl w:val="0"/>
                <w:lang w:val="en-US"/>
              </w:rPr>
              <w:t>INTOSAI KSC-IDI Community Portal: In close collaboration with IDI, a knowledge sharing platform to serve as the hub for knowledge sharing has been formed.</w:t>
            </w:r>
          </w:p>
        </w:tc>
        <w:tc>
          <w:tcPr>
            <w:tcW w:type="dxa" w:w="36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92d050"/>
            <w:tcMar>
              <w:top w:type="dxa" w:w="80"/>
              <w:left w:type="dxa" w:w="80"/>
              <w:bottom w:type="dxa" w:w="80"/>
              <w:right w:type="dxa" w:w="80"/>
            </w:tcMar>
            <w:vAlign w:val="top"/>
          </w:tcPr>
          <w:p>
            <w:pPr>
              <w:pStyle w:val="Обычный"/>
              <w:spacing w:before="120" w:after="120" w:line="240" w:lineRule="auto"/>
              <w:jc w:val="center"/>
            </w:pPr>
            <w:r>
              <w:rPr>
                <w:rFonts w:ascii="Times New Roman" w:hAnsi="Times New Roman"/>
                <w:sz w:val="20"/>
                <w:szCs w:val="20"/>
                <w:rtl w:val="0"/>
                <w:lang w:val="en-US"/>
              </w:rPr>
              <w:t xml:space="preserve">Further development of the methodical base, the information exchange system and information resources in the field of Public Procurement Audit </w:t>
            </w:r>
          </w:p>
        </w:tc>
        <w:tc>
          <w:tcPr>
            <w:tcW w:type="dxa" w:w="53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Обычный"/>
              <w:spacing w:before="120" w:after="120" w:line="240" w:lineRule="auto"/>
              <w:jc w:val="both"/>
            </w:pPr>
            <w:r>
              <w:rPr>
                <w:rFonts w:ascii="Times New Roman" w:hAnsi="Times New Roman"/>
                <w:sz w:val="20"/>
                <w:szCs w:val="20"/>
                <w:rtl w:val="0"/>
                <w:lang w:val="en-US"/>
              </w:rPr>
              <w:t>A new website</w:t>
            </w:r>
            <w:r>
              <w:rPr>
                <w:rFonts w:ascii="Times New Roman" w:hAnsi="Times New Roman"/>
                <w:sz w:val="20"/>
                <w:szCs w:val="20"/>
                <w:rtl w:val="0"/>
                <w:lang w:val="en-US"/>
              </w:rPr>
              <w:t xml:space="preserve"> </w:t>
            </w:r>
            <w:r>
              <w:rPr>
                <w:rFonts w:ascii="Times New Roman" w:hAnsi="Times New Roman"/>
                <w:sz w:val="20"/>
                <w:szCs w:val="20"/>
                <w:rtl w:val="0"/>
                <w:lang w:val="en-US"/>
              </w:rPr>
              <w:t>of Russias</w:t>
            </w:r>
            <w:r>
              <w:rPr>
                <w:rFonts w:ascii="Times New Roman" w:hAnsi="Times New Roman" w:hint="default"/>
                <w:sz w:val="20"/>
                <w:szCs w:val="20"/>
                <w:rtl w:val="0"/>
                <w:lang w:val="en-US"/>
              </w:rPr>
              <w:t>’</w:t>
            </w:r>
            <w:r>
              <w:rPr>
                <w:rFonts w:ascii="Times New Roman" w:hAnsi="Times New Roman"/>
                <w:sz w:val="20"/>
                <w:szCs w:val="20"/>
                <w:rtl w:val="0"/>
                <w:lang w:val="en-US"/>
              </w:rPr>
              <w:t xml:space="preserve"> Chairmanship </w:t>
            </w:r>
            <w:r>
              <w:rPr>
                <w:rFonts w:ascii="Times New Roman" w:hAnsi="Times New Roman"/>
                <w:sz w:val="20"/>
                <w:szCs w:val="20"/>
                <w:rtl w:val="0"/>
                <w:lang w:val="en-US"/>
              </w:rPr>
              <w:t>in</w:t>
            </w:r>
            <w:r>
              <w:rPr>
                <w:rFonts w:ascii="Times New Roman" w:hAnsi="Times New Roman"/>
                <w:sz w:val="20"/>
                <w:szCs w:val="20"/>
                <w:rtl w:val="0"/>
                <w:lang w:val="en-US"/>
              </w:rPr>
              <w:t xml:space="preserve"> INTOSAI section on Public Procurement is under development. The methodological, as well as information materials will be made available soon. </w:t>
            </w:r>
          </w:p>
        </w:tc>
      </w:tr>
      <w:tr>
        <w:tblPrEx>
          <w:shd w:val="clear" w:color="auto" w:fill="ced7e7"/>
        </w:tblPrEx>
        <w:trPr>
          <w:trHeight w:val="2140" w:hRule="atLeast"/>
        </w:trPr>
        <w:tc>
          <w:tcPr>
            <w:tcW w:type="dxa" w:w="223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91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Обычный"/>
              <w:spacing w:before="120" w:after="120" w:line="240" w:lineRule="auto"/>
              <w:jc w:val="both"/>
            </w:pPr>
            <w:r>
              <w:rPr>
                <w:rFonts w:ascii="Cambria" w:cs="Cambria" w:hAnsi="Cambria" w:eastAsia="Cambria"/>
                <w:sz w:val="20"/>
                <w:szCs w:val="20"/>
                <w:rtl w:val="0"/>
                <w:lang w:val="en-US"/>
              </w:rPr>
              <w:t>Research projects: The KSC leads the development of a scheme for encouraging internal (to INTOSAI) and external research projects in public audit. The KSC also facilitates INTOSAI</w:t>
            </w:r>
            <w:r>
              <w:rPr>
                <w:rFonts w:ascii="Cambria" w:cs="Cambria" w:hAnsi="Cambria" w:eastAsia="Cambria"/>
                <w:sz w:val="20"/>
                <w:szCs w:val="20"/>
                <w:rtl w:val="0"/>
                <w:lang w:val="en-US"/>
              </w:rPr>
              <w:t>’</w:t>
            </w:r>
            <w:r>
              <w:rPr>
                <w:rFonts w:ascii="Cambria" w:cs="Cambria" w:hAnsi="Cambria" w:eastAsia="Cambria"/>
                <w:sz w:val="20"/>
                <w:szCs w:val="20"/>
                <w:rtl w:val="0"/>
                <w:lang w:val="en-US"/>
              </w:rPr>
              <w:t>s engagement with the academic community on issues of mutual interest and concern.</w:t>
            </w:r>
          </w:p>
        </w:tc>
        <w:tc>
          <w:tcPr>
            <w:tcW w:type="dxa" w:w="36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9bbb59"/>
            <w:tcMar>
              <w:top w:type="dxa" w:w="80"/>
              <w:left w:type="dxa" w:w="80"/>
              <w:bottom w:type="dxa" w:w="80"/>
              <w:right w:type="dxa" w:w="80"/>
            </w:tcMar>
            <w:vAlign w:val="top"/>
          </w:tcPr>
          <w:p>
            <w:pPr>
              <w:pStyle w:val="Обычный"/>
              <w:spacing w:before="120" w:after="120" w:line="240" w:lineRule="auto"/>
              <w:jc w:val="center"/>
            </w:pPr>
            <w:r>
              <w:rPr>
                <w:rFonts w:ascii="Times New Roman" w:hAnsi="Times New Roman"/>
                <w:sz w:val="20"/>
                <w:szCs w:val="20"/>
                <w:u w:color="ffffff"/>
                <w:rtl w:val="0"/>
                <w:lang w:val="en-US"/>
              </w:rPr>
              <w:t>The Accounts Chamber of the Russian Federation engagement with the scientific organization for the work of the Working Group</w:t>
            </w:r>
          </w:p>
        </w:tc>
        <w:tc>
          <w:tcPr>
            <w:tcW w:type="dxa" w:w="53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Обычный"/>
              <w:spacing w:before="120" w:after="120" w:line="240" w:lineRule="auto"/>
              <w:jc w:val="both"/>
            </w:pPr>
            <w:r>
              <w:rPr>
                <w:rFonts w:ascii="Times New Roman" w:hAnsi="Times New Roman"/>
                <w:sz w:val="20"/>
                <w:szCs w:val="20"/>
                <w:rtl w:val="0"/>
                <w:lang w:val="en-US"/>
              </w:rPr>
              <w:t>As part of the First Online INTOSAI International Scientific and Practical Conference under the auspices of the INTOSAI Chair the Accounts Chamber of the Russian held a separate Open Discussion of current issued of Public Procurement Audit in the context of COVID-19. The outcomes of the Discussion will be finalised soon and distributed to INTOSAI members and bodies as well as other stakeholders.</w:t>
            </w:r>
          </w:p>
        </w:tc>
      </w:tr>
      <w:tr>
        <w:tblPrEx>
          <w:shd w:val="clear" w:color="auto" w:fill="ced7e7"/>
        </w:tblPrEx>
        <w:trPr>
          <w:trHeight w:val="2902" w:hRule="atLeast"/>
        </w:trPr>
        <w:tc>
          <w:tcPr>
            <w:tcW w:type="dxa" w:w="223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91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Обычный"/>
              <w:spacing w:before="120" w:after="120" w:line="240" w:lineRule="auto"/>
            </w:pPr>
            <w:r>
              <w:rPr>
                <w:rFonts w:ascii="Cambria" w:cs="Cambria" w:hAnsi="Cambria" w:eastAsia="Cambria"/>
                <w:sz w:val="20"/>
                <w:szCs w:val="20"/>
                <w:rtl w:val="0"/>
                <w:lang w:val="en-US"/>
              </w:rPr>
              <w:t>Generation and dissemination knowledge and experiences. (workshops, training, benchmarking exercise, joint/ collaborative audits, outreach activities etc.)</w:t>
            </w:r>
            <w:r>
              <w:rPr>
                <w:rFonts w:ascii="Times New Roman" w:hAnsi="Times New Roman"/>
                <w:sz w:val="24"/>
                <w:szCs w:val="24"/>
                <w:rtl w:val="0"/>
                <w:lang w:val="en-US"/>
              </w:rPr>
              <w:t xml:space="preserve"> </w:t>
            </w:r>
          </w:p>
        </w:tc>
        <w:tc>
          <w:tcPr>
            <w:tcW w:type="dxa" w:w="36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92d050"/>
            <w:tcMar>
              <w:top w:type="dxa" w:w="80"/>
              <w:left w:type="dxa" w:w="80"/>
              <w:bottom w:type="dxa" w:w="80"/>
              <w:right w:type="dxa" w:w="80"/>
            </w:tcMar>
            <w:vAlign w:val="top"/>
          </w:tcPr>
          <w:p>
            <w:pPr>
              <w:pStyle w:val="Обычный"/>
              <w:spacing w:before="120" w:after="120" w:line="240" w:lineRule="auto"/>
              <w:jc w:val="center"/>
            </w:pPr>
            <w:r>
              <w:rPr>
                <w:rFonts w:ascii="Times New Roman" w:hAnsi="Times New Roman"/>
                <w:sz w:val="20"/>
                <w:szCs w:val="20"/>
                <w:rtl w:val="0"/>
                <w:lang w:val="en-US"/>
              </w:rPr>
              <w:t>Exchange of experience on the practice of auditing in the field of Public Procurement between the members of the Working Group</w:t>
            </w:r>
          </w:p>
        </w:tc>
        <w:tc>
          <w:tcPr>
            <w:tcW w:type="dxa" w:w="53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Обычный"/>
              <w:spacing w:before="120" w:after="120" w:line="240" w:lineRule="auto"/>
              <w:jc w:val="both"/>
            </w:pPr>
            <w:r>
              <w:rPr>
                <w:rFonts w:ascii="Times New Roman" w:hAnsi="Times New Roman"/>
                <w:sz w:val="20"/>
                <w:szCs w:val="20"/>
                <w:rtl w:val="0"/>
                <w:lang w:val="en-US"/>
              </w:rPr>
              <w:t>Possible further activities on exchange of experience between the group members will be discussed during the next meetings of the Working Group.</w:t>
            </w:r>
          </w:p>
        </w:tc>
      </w:tr>
      <w:tr>
        <w:tblPrEx>
          <w:shd w:val="clear" w:color="auto" w:fill="ced7e7"/>
        </w:tblPrEx>
        <w:trPr>
          <w:trHeight w:val="1682" w:hRule="atLeast"/>
        </w:trPr>
        <w:tc>
          <w:tcPr>
            <w:tcW w:type="dxa" w:w="223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spacing w:before="120" w:after="120" w:line="240" w:lineRule="auto"/>
            </w:pPr>
            <w:r>
              <w:rPr>
                <w:rFonts w:ascii="Cambria" w:cs="Cambria" w:hAnsi="Cambria" w:eastAsia="Cambria"/>
                <w:sz w:val="20"/>
                <w:szCs w:val="20"/>
                <w:rtl w:val="0"/>
                <w:lang w:val="en-US"/>
              </w:rPr>
              <w:t>Working with the CBC, IDI, and other INTOSAI entities, facilitate continuous improvement of SAIs through knowledge sharing on the crosscutting lessons learned from the results of peer reviews and SAI PMF.</w:t>
            </w:r>
          </w:p>
        </w:tc>
        <w:tc>
          <w:tcPr>
            <w:tcW w:type="dxa" w:w="391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spacing w:before="120" w:after="120" w:line="240" w:lineRule="auto"/>
              <w:jc w:val="both"/>
            </w:pPr>
            <w:r>
              <w:rPr>
                <w:rFonts w:ascii="Cambria" w:cs="Cambria" w:hAnsi="Cambria" w:eastAsia="Cambria"/>
                <w:sz w:val="20"/>
                <w:szCs w:val="20"/>
                <w:rtl w:val="0"/>
                <w:lang w:val="en-US"/>
              </w:rPr>
              <w:t>Stakeholder engagement: The KSC, other strategic goal committees, IDI, INTOSAI regional organizations, the Supervisory Committee on Emerging Issues and the INTOSAI General Secretariat work together to avoid duplication of work and for greater synergy</w:t>
            </w:r>
            <w:r>
              <w:rPr>
                <w:rFonts w:ascii="Times New Roman" w:hAnsi="Times New Roman"/>
                <w:sz w:val="20"/>
                <w:szCs w:val="20"/>
                <w:rtl w:val="0"/>
                <w:lang w:val="en-US"/>
              </w:rPr>
              <w:t>.</w:t>
            </w:r>
          </w:p>
        </w:tc>
        <w:tc>
          <w:tcPr>
            <w:tcW w:type="dxa" w:w="36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92d050"/>
            <w:tcMar>
              <w:top w:type="dxa" w:w="80"/>
              <w:left w:type="dxa" w:w="80"/>
              <w:bottom w:type="dxa" w:w="80"/>
              <w:right w:type="dxa" w:w="80"/>
            </w:tcMar>
            <w:vAlign w:val="top"/>
          </w:tcPr>
          <w:p>
            <w:pPr>
              <w:pStyle w:val="Обычный"/>
              <w:spacing w:before="120" w:after="120" w:line="240" w:lineRule="auto"/>
              <w:jc w:val="center"/>
            </w:pPr>
            <w:r>
              <w:rPr>
                <w:rFonts w:ascii="Times New Roman" w:hAnsi="Times New Roman"/>
                <w:sz w:val="20"/>
                <w:szCs w:val="20"/>
                <w:rtl w:val="0"/>
                <w:lang w:val="en-US"/>
              </w:rPr>
              <w:t>Cooperation with the INTOSAI bodies in the development and promotion of the draft GUID</w:t>
            </w:r>
          </w:p>
        </w:tc>
        <w:tc>
          <w:tcPr>
            <w:tcW w:type="dxa" w:w="53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Обычный"/>
              <w:spacing w:before="120" w:after="120" w:line="240" w:lineRule="auto"/>
              <w:jc w:val="both"/>
            </w:pPr>
            <w:r>
              <w:rPr>
                <w:rFonts w:ascii="Times New Roman" w:hAnsi="Times New Roman"/>
                <w:sz w:val="20"/>
                <w:szCs w:val="20"/>
                <w:rtl w:val="0"/>
                <w:lang w:val="en-US"/>
              </w:rPr>
              <w:t>While developing the GUID, the consultations with CAS, PAS, TSF and FIPP were made. The information can also be exchanged with the INTOSAI Working Group on the Fight Against Corruption and Money Laundering.</w:t>
            </w:r>
          </w:p>
        </w:tc>
      </w:tr>
      <w:tr>
        <w:tblPrEx>
          <w:shd w:val="clear" w:color="auto" w:fill="ced7e7"/>
        </w:tblPrEx>
        <w:trPr>
          <w:trHeight w:val="1342" w:hRule="atLeast"/>
        </w:trPr>
        <w:tc>
          <w:tcPr>
            <w:tcW w:type="dxa" w:w="223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91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Обычный"/>
              <w:spacing w:before="120" w:after="120" w:line="240" w:lineRule="auto"/>
              <w:jc w:val="both"/>
            </w:pPr>
            <w:r>
              <w:rPr>
                <w:rFonts w:ascii="Cambria" w:cs="Cambria" w:hAnsi="Cambria" w:eastAsia="Cambria"/>
                <w:sz w:val="20"/>
                <w:szCs w:val="20"/>
                <w:rtl w:val="0"/>
                <w:lang w:val="en-US"/>
              </w:rPr>
              <w:t>Facilitate continuous improvement: Working with the CBC, IDI, and other INTOSAI entities, the KSC gathers and disseminates crosscutting lessons learned from the individual results of peer reviews and of SAI PMF assessment.</w:t>
            </w:r>
          </w:p>
        </w:tc>
        <w:tc>
          <w:tcPr>
            <w:tcW w:type="dxa" w:w="36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29d6ff"/>
            <w:tcMar>
              <w:top w:type="dxa" w:w="80"/>
              <w:left w:type="dxa" w:w="80"/>
              <w:bottom w:type="dxa" w:w="80"/>
              <w:right w:type="dxa" w:w="80"/>
            </w:tcMar>
            <w:vAlign w:val="top"/>
          </w:tcPr>
          <w:p>
            <w:pPr>
              <w:pStyle w:val="Обычный"/>
              <w:spacing w:before="120" w:after="120" w:line="240" w:lineRule="auto"/>
            </w:pPr>
            <w:r>
              <w:rPr>
                <w:rFonts w:ascii="Times New Roman" w:hAnsi="Times New Roman"/>
                <w:sz w:val="20"/>
                <w:szCs w:val="20"/>
                <w:rtl w:val="0"/>
                <w:lang w:val="en-US"/>
              </w:rPr>
              <w:t>Exchange of experience on the practice of auditing in the field of Public Procurement</w:t>
            </w:r>
          </w:p>
        </w:tc>
        <w:tc>
          <w:tcPr>
            <w:tcW w:type="dxa" w:w="53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spacing w:before="120" w:after="120" w:line="240" w:lineRule="auto"/>
              <w:jc w:val="both"/>
            </w:pPr>
            <w:r>
              <w:rPr>
                <w:rFonts w:ascii="Times New Roman" w:hAnsi="Times New Roman"/>
                <w:sz w:val="20"/>
                <w:szCs w:val="20"/>
                <w:rtl w:val="0"/>
                <w:lang w:val="en-US"/>
              </w:rPr>
              <w:t>The Working group is available to exchange experience of auditing in the field of Public Procurement and methodological developments in this area.</w:t>
            </w:r>
          </w:p>
        </w:tc>
      </w:tr>
      <w:tr>
        <w:tblPrEx>
          <w:shd w:val="clear" w:color="auto" w:fill="ced7e7"/>
        </w:tblPrEx>
        <w:trPr>
          <w:trHeight w:val="1762" w:hRule="atLeast"/>
        </w:trPr>
        <w:tc>
          <w:tcPr>
            <w:tcW w:type="dxa" w:w="223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91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Обычный"/>
              <w:spacing w:before="120" w:after="120" w:line="240" w:lineRule="auto"/>
              <w:jc w:val="both"/>
            </w:pPr>
            <w:r>
              <w:rPr>
                <w:rFonts w:ascii="Cambria" w:cs="Cambria" w:hAnsi="Cambria" w:eastAsia="Cambria"/>
                <w:sz w:val="20"/>
                <w:szCs w:val="20"/>
                <w:rtl w:val="0"/>
                <w:lang w:val="en-US"/>
              </w:rPr>
              <w:t xml:space="preserve">Cooperate with and leverage the efforts of The International Journal of Government Auditing and the General Secretariat to expand the use of social media, video, and interactive tools to ensure </w:t>
            </w:r>
            <w:r>
              <w:rPr>
                <w:rFonts w:ascii="Cambria" w:cs="Cambria" w:hAnsi="Cambria" w:eastAsia="Cambria"/>
                <w:sz w:val="20"/>
                <w:szCs w:val="20"/>
                <w:rtl w:val="0"/>
                <w:lang w:val="en-US"/>
              </w:rPr>
              <w:t>“</w:t>
            </w:r>
            <w:r>
              <w:rPr>
                <w:rFonts w:ascii="Cambria" w:cs="Cambria" w:hAnsi="Cambria" w:eastAsia="Cambria"/>
                <w:sz w:val="20"/>
                <w:szCs w:val="20"/>
                <w:rtl w:val="0"/>
                <w:lang w:val="en-US"/>
              </w:rPr>
              <w:t>real-time</w:t>
            </w:r>
            <w:r>
              <w:rPr>
                <w:rFonts w:ascii="Cambria" w:cs="Cambria" w:hAnsi="Cambria" w:eastAsia="Cambria"/>
                <w:sz w:val="20"/>
                <w:szCs w:val="20"/>
                <w:rtl w:val="0"/>
                <w:lang w:val="en-US"/>
              </w:rPr>
              <w:t xml:space="preserve">” </w:t>
            </w:r>
            <w:r>
              <w:rPr>
                <w:rFonts w:ascii="Cambria" w:cs="Cambria" w:hAnsi="Cambria" w:eastAsia="Cambria"/>
                <w:sz w:val="20"/>
                <w:szCs w:val="20"/>
                <w:rtl w:val="0"/>
                <w:lang w:val="en-US"/>
              </w:rPr>
              <w:t>communication across INTOSAI, its partners, and with other interested parties</w:t>
            </w:r>
          </w:p>
        </w:tc>
        <w:tc>
          <w:tcPr>
            <w:tcW w:type="dxa" w:w="36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29d6ff"/>
            <w:tcMar>
              <w:top w:type="dxa" w:w="80"/>
              <w:left w:type="dxa" w:w="80"/>
              <w:bottom w:type="dxa" w:w="80"/>
              <w:right w:type="dxa" w:w="80"/>
            </w:tcMar>
            <w:vAlign w:val="top"/>
          </w:tcPr>
          <w:p>
            <w:pPr>
              <w:pStyle w:val="Обычный"/>
              <w:spacing w:before="120" w:after="120" w:line="240" w:lineRule="auto"/>
              <w:jc w:val="center"/>
            </w:pPr>
            <w:r>
              <w:rPr>
                <w:rFonts w:ascii="Times New Roman" w:hAnsi="Times New Roman"/>
                <w:sz w:val="20"/>
                <w:szCs w:val="20"/>
                <w:rtl w:val="0"/>
                <w:lang w:val="en-US"/>
              </w:rPr>
              <w:t xml:space="preserve">Participation in the preparation of information materials on the Working Group activities </w:t>
            </w:r>
          </w:p>
        </w:tc>
        <w:tc>
          <w:tcPr>
            <w:tcW w:type="dxa" w:w="53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spacing w:before="120" w:after="120" w:line="240" w:lineRule="auto"/>
              <w:jc w:val="both"/>
            </w:pPr>
            <w:r>
              <w:rPr>
                <w:rFonts w:ascii="Times New Roman" w:hAnsi="Times New Roman"/>
                <w:sz w:val="20"/>
                <w:szCs w:val="20"/>
                <w:rtl w:val="0"/>
                <w:lang w:val="en-US"/>
              </w:rPr>
              <w:t>The Accounts Chamber of the Russian Federation is ready to prepare for the Journal information on the Working Group, its actual goals and objectives of its activities.</w:t>
            </w:r>
          </w:p>
        </w:tc>
      </w:tr>
    </w:tbl>
    <w:p>
      <w:pPr>
        <w:pStyle w:val="Обычный"/>
        <w:widowControl w:val="0"/>
        <w:spacing w:after="120" w:line="240" w:lineRule="auto"/>
        <w:ind w:left="216" w:hanging="216"/>
      </w:pPr>
      <w:r>
        <w:rPr>
          <w:rFonts w:ascii="Cambria" w:cs="Cambria" w:hAnsi="Cambria" w:eastAsia="Cambria"/>
          <w:sz w:val="24"/>
          <w:szCs w:val="24"/>
          <w:u w:val="single"/>
        </w:rPr>
      </w:r>
    </w:p>
    <w:sectPr>
      <w:headerReference w:type="default" r:id="rId4"/>
      <w:footerReference w:type="default" r:id="rId5"/>
      <w:pgSz w:w="16840" w:h="11900" w:orient="landscape"/>
      <w:pgMar w:top="1021" w:right="1440" w:bottom="907" w:left="1440" w:header="709" w:footer="709"/>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Нижний колонтитул"/>
      <w:jc w:val="center"/>
    </w:pPr>
    <w:r>
      <w:rPr/>
      <w:fldChar w:fldCharType="begin" w:fldLock="0"/>
    </w:r>
    <w:r>
      <w:instrText xml:space="preserve"> PAGE </w:instrText>
    </w:r>
    <w:r>
      <w:rPr/>
      <w:fldChar w:fldCharType="separate" w:fldLock="0"/>
    </w:r>
    <w:r>
      <w:t>4</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Колонтитулы"/>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decimal"/>
      <w:suff w:val="tab"/>
      <w:lvlText w:val="%1."/>
      <w:lvlJc w:val="left"/>
      <w:pPr>
        <w:tabs>
          <w:tab w:val="left" w:pos="318"/>
        </w:tabs>
        <w:ind w:left="211" w:hanging="211"/>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tabs>
          <w:tab w:val="left" w:pos="318"/>
        </w:tabs>
        <w:ind w:left="1011" w:hanging="211"/>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tabs>
          <w:tab w:val="left" w:pos="318"/>
        </w:tabs>
        <w:ind w:left="1811" w:hanging="211"/>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318"/>
        </w:tabs>
        <w:ind w:left="2611" w:hanging="211"/>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tabs>
          <w:tab w:val="left" w:pos="318"/>
        </w:tabs>
        <w:ind w:left="3411" w:hanging="211"/>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tabs>
          <w:tab w:val="left" w:pos="318"/>
        </w:tabs>
        <w:ind w:left="4211" w:hanging="211"/>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318"/>
        </w:tabs>
        <w:ind w:left="5011" w:hanging="211"/>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tabs>
          <w:tab w:val="left" w:pos="318"/>
        </w:tabs>
        <w:ind w:left="5811" w:hanging="211"/>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tabs>
          <w:tab w:val="left" w:pos="318"/>
        </w:tabs>
        <w:ind w:left="6611" w:hanging="21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русский" w:val="‘“(〔[{〈《「『【⦅〘〖«〝︵︷︹︻︽︿﹁﹃﹇﹙﹛﹝｢"/>
  <w:noLineBreaksBefore w:lang="русский"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Колонтитулы">
    <w:name w:val="Колонтитулы"/>
    <w:next w:val="Колонтитулы"/>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Нижний колонтитул">
    <w:name w:val="Нижний колонтитул"/>
    <w:next w:val="Нижний колонтитул"/>
    <w:pPr>
      <w:keepNext w:val="0"/>
      <w:keepLines w:val="0"/>
      <w:pageBreakBefore w:val="0"/>
      <w:widowControl w:val="1"/>
      <w:shd w:val="clear" w:color="auto" w:fill="auto"/>
      <w:tabs>
        <w:tab w:val="center" w:pos="4513"/>
        <w:tab w:val="right" w:pos="9026"/>
      </w:tabs>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Обычный">
    <w:name w:val="Обычный"/>
    <w:next w:val="Обычный"/>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