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06868" w14:textId="56F7F199" w:rsidR="00513119" w:rsidRPr="007E3B95" w:rsidRDefault="00535A16" w:rsidP="009F715C">
      <w:pPr>
        <w:spacing w:after="120" w:line="240" w:lineRule="auto"/>
        <w:ind w:left="1440" w:firstLine="720"/>
        <w:rPr>
          <w:rFonts w:asciiTheme="majorHAnsi" w:eastAsia="Times New Roman" w:hAnsiTheme="majorHAnsi" w:cs="Times New Roman"/>
          <w:color w:val="244061" w:themeColor="accent1" w:themeShade="80"/>
          <w:sz w:val="24"/>
          <w:szCs w:val="24"/>
          <w:lang w:val="en-US"/>
        </w:rPr>
      </w:pPr>
      <w:r w:rsidRPr="007E3B95">
        <w:rPr>
          <w:rFonts w:asciiTheme="majorHAnsi" w:eastAsia="Times New Roman" w:hAnsiTheme="majorHAnsi" w:cs="Times New Roman"/>
          <w:noProof/>
          <w:color w:val="244061" w:themeColor="accent1" w:themeShade="80"/>
          <w:sz w:val="24"/>
          <w:szCs w:val="24"/>
          <w:lang w:val="en-US"/>
        </w:rPr>
        <mc:AlternateContent>
          <mc:Choice Requires="wps">
            <w:drawing>
              <wp:anchor distT="0" distB="0" distL="114300" distR="114300" simplePos="0" relativeHeight="251652096" behindDoc="0" locked="0" layoutInCell="1" allowOverlap="1" wp14:anchorId="4697AF22" wp14:editId="0E4B621B">
                <wp:simplePos x="0" y="0"/>
                <wp:positionH relativeFrom="column">
                  <wp:posOffset>5775960</wp:posOffset>
                </wp:positionH>
                <wp:positionV relativeFrom="paragraph">
                  <wp:posOffset>-568325</wp:posOffset>
                </wp:positionV>
                <wp:extent cx="3053751" cy="1647645"/>
                <wp:effectExtent l="0" t="0" r="13335"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751" cy="1647645"/>
                        </a:xfrm>
                        <a:prstGeom prst="rect">
                          <a:avLst/>
                        </a:prstGeom>
                        <a:solidFill>
                          <a:srgbClr val="FFFFFF"/>
                        </a:solidFill>
                        <a:ln w="9525">
                          <a:solidFill>
                            <a:schemeClr val="bg1">
                              <a:lumMod val="50000"/>
                            </a:schemeClr>
                          </a:solidFill>
                          <a:miter lim="800000"/>
                          <a:headEnd/>
                          <a:tailEnd/>
                        </a:ln>
                      </wps:spPr>
                      <wps:txbx>
                        <w:txbxContent>
                          <w:p w14:paraId="2C0E4308" w14:textId="77777777" w:rsidR="004B67E0" w:rsidRDefault="00EA37AA" w:rsidP="009F715C">
                            <w:pPr>
                              <w:spacing w:after="40"/>
                              <w:jc w:val="center"/>
                            </w:pPr>
                            <w:r>
                              <w:t xml:space="preserve">Key to progress indicator </w:t>
                            </w:r>
                            <w:r w:rsidR="007B5200">
                              <w:t>colours</w:t>
                            </w:r>
                          </w:p>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01"/>
                              <w:gridCol w:w="3696"/>
                            </w:tblGrid>
                            <w:tr w:rsidR="00AC6896" w14:paraId="0C306336" w14:textId="77777777" w:rsidTr="00711677">
                              <w:tc>
                                <w:tcPr>
                                  <w:tcW w:w="817" w:type="dxa"/>
                                  <w:shd w:val="clear" w:color="auto" w:fill="92D050"/>
                                </w:tcPr>
                                <w:p w14:paraId="3A2E5728" w14:textId="77777777" w:rsidR="004B67E0" w:rsidRDefault="004B67E0"/>
                              </w:tc>
                              <w:tc>
                                <w:tcPr>
                                  <w:tcW w:w="3768" w:type="dxa"/>
                                </w:tcPr>
                                <w:p w14:paraId="1ED27DCA" w14:textId="77777777"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 project</w:t>
                                  </w:r>
                                  <w:r w:rsidR="00B91563" w:rsidRPr="00711677">
                                    <w:rPr>
                                      <w:sz w:val="18"/>
                                      <w:szCs w:val="18"/>
                                    </w:rPr>
                                    <w:t>s</w:t>
                                  </w:r>
                                  <w:r w:rsidRPr="00711677">
                                    <w:rPr>
                                      <w:sz w:val="18"/>
                                      <w:szCs w:val="18"/>
                                    </w:rPr>
                                    <w:t xml:space="preserve"> on schedule </w:t>
                                  </w:r>
                                </w:p>
                              </w:tc>
                            </w:tr>
                            <w:tr w:rsidR="00AC6896" w14:paraId="1344A88D" w14:textId="77777777" w:rsidTr="00711677">
                              <w:tc>
                                <w:tcPr>
                                  <w:tcW w:w="817" w:type="dxa"/>
                                  <w:shd w:val="clear" w:color="auto" w:fill="FFC000"/>
                                </w:tcPr>
                                <w:p w14:paraId="375AC444" w14:textId="77777777" w:rsidR="004B67E0" w:rsidRDefault="004B67E0"/>
                              </w:tc>
                              <w:tc>
                                <w:tcPr>
                                  <w:tcW w:w="3768" w:type="dxa"/>
                                </w:tcPr>
                                <w:p w14:paraId="302840A4" w14:textId="77777777"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w:t>
                                  </w:r>
                                  <w:r w:rsidR="0015101D" w:rsidRPr="00711677">
                                    <w:rPr>
                                      <w:sz w:val="18"/>
                                      <w:szCs w:val="18"/>
                                    </w:rPr>
                                    <w:t xml:space="preserve"> </w:t>
                                  </w:r>
                                  <w:r w:rsidR="007B5200" w:rsidRPr="00711677">
                                    <w:rPr>
                                      <w:sz w:val="18"/>
                                      <w:szCs w:val="18"/>
                                    </w:rPr>
                                    <w:t>project</w:t>
                                  </w:r>
                                  <w:r w:rsidR="00B91563" w:rsidRPr="00711677">
                                    <w:rPr>
                                      <w:sz w:val="18"/>
                                      <w:szCs w:val="18"/>
                                    </w:rPr>
                                    <w:t>s</w:t>
                                  </w:r>
                                  <w:r w:rsidRPr="00711677">
                                    <w:rPr>
                                      <w:sz w:val="18"/>
                                      <w:szCs w:val="18"/>
                                    </w:rPr>
                                    <w:t xml:space="preserve"> behind schedule</w:t>
                                  </w:r>
                                </w:p>
                              </w:tc>
                            </w:tr>
                            <w:tr w:rsidR="00AC6896" w14:paraId="7AD0D982" w14:textId="77777777" w:rsidTr="00711677">
                              <w:tc>
                                <w:tcPr>
                                  <w:tcW w:w="817" w:type="dxa"/>
                                  <w:shd w:val="clear" w:color="auto" w:fill="FF5757"/>
                                </w:tcPr>
                                <w:p w14:paraId="4C02DBF3" w14:textId="77777777" w:rsidR="004B67E0" w:rsidRDefault="004B67E0"/>
                              </w:tc>
                              <w:tc>
                                <w:tcPr>
                                  <w:tcW w:w="3768" w:type="dxa"/>
                                </w:tcPr>
                                <w:p w14:paraId="24BCD1FF" w14:textId="77777777" w:rsidR="004B67E0" w:rsidRPr="00711677" w:rsidRDefault="004B67E0" w:rsidP="00711677">
                                  <w:pPr>
                                    <w:spacing w:line="240" w:lineRule="auto"/>
                                    <w:rPr>
                                      <w:sz w:val="18"/>
                                      <w:szCs w:val="18"/>
                                    </w:rPr>
                                  </w:pPr>
                                  <w:r w:rsidRPr="00711677">
                                    <w:rPr>
                                      <w:sz w:val="18"/>
                                      <w:szCs w:val="18"/>
                                    </w:rPr>
                                    <w:t xml:space="preserve">Serious difficulties being experienced </w:t>
                                  </w:r>
                                  <w:r w:rsidR="00711677" w:rsidRPr="00711677">
                                    <w:rPr>
                                      <w:sz w:val="18"/>
                                      <w:szCs w:val="18"/>
                                    </w:rPr>
                                    <w:t>– Internal factors</w:t>
                                  </w:r>
                                </w:p>
                              </w:tc>
                            </w:tr>
                            <w:tr w:rsidR="00711677" w14:paraId="76C6DD65" w14:textId="77777777" w:rsidTr="00A75398">
                              <w:tc>
                                <w:tcPr>
                                  <w:tcW w:w="817" w:type="dxa"/>
                                  <w:shd w:val="clear" w:color="auto" w:fill="5F497A" w:themeFill="accent4" w:themeFillShade="BF"/>
                                </w:tcPr>
                                <w:p w14:paraId="39354112" w14:textId="77777777" w:rsidR="00711677" w:rsidRDefault="00711677"/>
                              </w:tc>
                              <w:tc>
                                <w:tcPr>
                                  <w:tcW w:w="3768" w:type="dxa"/>
                                </w:tcPr>
                                <w:p w14:paraId="4B0E184B" w14:textId="77777777" w:rsidR="00711677" w:rsidRPr="00711677" w:rsidRDefault="00711677" w:rsidP="00711677">
                                  <w:pPr>
                                    <w:spacing w:line="240" w:lineRule="auto"/>
                                    <w:rPr>
                                      <w:sz w:val="18"/>
                                      <w:szCs w:val="18"/>
                                    </w:rPr>
                                  </w:pPr>
                                  <w:r w:rsidRPr="00711677">
                                    <w:rPr>
                                      <w:sz w:val="18"/>
                                      <w:szCs w:val="18"/>
                                    </w:rPr>
                                    <w:t>Serious difficulties being experienced – External factors (beyond the control of the WG)</w:t>
                                  </w:r>
                                </w:p>
                              </w:tc>
                            </w:tr>
                            <w:tr w:rsidR="00AC6896" w14:paraId="26ED2DA1" w14:textId="77777777" w:rsidTr="00711677">
                              <w:tc>
                                <w:tcPr>
                                  <w:tcW w:w="817" w:type="dxa"/>
                                  <w:shd w:val="clear" w:color="auto" w:fill="29D6FF"/>
                                </w:tcPr>
                                <w:p w14:paraId="462857F6" w14:textId="77777777" w:rsidR="004B67E0" w:rsidRDefault="004B67E0"/>
                              </w:tc>
                              <w:tc>
                                <w:tcPr>
                                  <w:tcW w:w="3768" w:type="dxa"/>
                                </w:tcPr>
                                <w:p w14:paraId="14C36458" w14:textId="77777777" w:rsidR="004B67E0" w:rsidRPr="00711677" w:rsidRDefault="004B67E0" w:rsidP="00711677">
                                  <w:pPr>
                                    <w:spacing w:line="240" w:lineRule="auto"/>
                                    <w:rPr>
                                      <w:sz w:val="18"/>
                                      <w:szCs w:val="18"/>
                                    </w:rPr>
                                  </w:pPr>
                                  <w:r w:rsidRPr="00711677">
                                    <w:rPr>
                                      <w:sz w:val="18"/>
                                      <w:szCs w:val="18"/>
                                    </w:rPr>
                                    <w:t>Not yet scheduled to start</w:t>
                                  </w:r>
                                </w:p>
                              </w:tc>
                            </w:tr>
                            <w:tr w:rsidR="00AC6896" w14:paraId="4709566A" w14:textId="77777777" w:rsidTr="00711677">
                              <w:tc>
                                <w:tcPr>
                                  <w:tcW w:w="817" w:type="dxa"/>
                                  <w:shd w:val="clear" w:color="auto" w:fill="404040" w:themeFill="text1" w:themeFillTint="BF"/>
                                </w:tcPr>
                                <w:p w14:paraId="73FC5306" w14:textId="77777777" w:rsidR="004B67E0" w:rsidRDefault="004B67E0"/>
                              </w:tc>
                              <w:tc>
                                <w:tcPr>
                                  <w:tcW w:w="3768" w:type="dxa"/>
                                </w:tcPr>
                                <w:p w14:paraId="320A0FB5" w14:textId="77777777" w:rsidR="004B67E0" w:rsidRDefault="004B67E0">
                                  <w:r>
                                    <w:t>Initiative</w:t>
                                  </w:r>
                                  <w:r w:rsidR="00B91563">
                                    <w:t xml:space="preserve">s </w:t>
                                  </w:r>
                                  <w:r>
                                    <w:t xml:space="preserve"> / project</w:t>
                                  </w:r>
                                  <w:r w:rsidR="00B91563">
                                    <w:t>s</w:t>
                                  </w:r>
                                  <w:r>
                                    <w:t xml:space="preserve"> completed </w:t>
                                  </w:r>
                                </w:p>
                              </w:tc>
                            </w:tr>
                          </w:tbl>
                          <w:p w14:paraId="4C44FB2C" w14:textId="77777777" w:rsidR="004B67E0" w:rsidRDefault="004B67E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97AF22" id="_x0000_t202" coordsize="21600,21600" o:spt="202" path="m,l,21600r21600,l21600,xe">
                <v:stroke joinstyle="miter"/>
                <v:path gradientshapeok="t" o:connecttype="rect"/>
              </v:shapetype>
              <v:shape id="Text Box 2" o:spid="_x0000_s1026" type="#_x0000_t202" style="position:absolute;left:0;text-align:left;margin-left:454.8pt;margin-top:-44.75pt;width:240.45pt;height:129.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" strokecolor="#7f7f7f [1612]">
                <v:textbox>
                  <w:txbxContent>
                    <w:p w14:paraId="2C0E4308" w14:textId="77777777" w:rsidR="004B67E0" w:rsidRDefault="00EA37AA" w:rsidP="009F715C">
                      <w:pPr>
                        <w:spacing w:after="40"/>
                        <w:jc w:val="center"/>
                      </w:pPr>
                      <w:r>
                        <w:t xml:space="preserve">Key to progress indicator </w:t>
                      </w:r>
                      <w:r w:rsidR="007B5200">
                        <w:t>colours</w:t>
                      </w:r>
                    </w:p>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01"/>
                        <w:gridCol w:w="3696"/>
                      </w:tblGrid>
                      <w:tr w:rsidR="00AC6896" w14:paraId="0C306336" w14:textId="77777777" w:rsidTr="00711677">
                        <w:tc>
                          <w:tcPr>
                            <w:tcW w:w="817" w:type="dxa"/>
                            <w:shd w:val="clear" w:color="auto" w:fill="92D050"/>
                          </w:tcPr>
                          <w:p w14:paraId="3A2E5728" w14:textId="77777777" w:rsidR="004B67E0" w:rsidRDefault="004B67E0"/>
                        </w:tc>
                        <w:tc>
                          <w:tcPr>
                            <w:tcW w:w="3768" w:type="dxa"/>
                          </w:tcPr>
                          <w:p w14:paraId="1ED27DCA" w14:textId="77777777"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 project</w:t>
                            </w:r>
                            <w:r w:rsidR="00B91563" w:rsidRPr="00711677">
                              <w:rPr>
                                <w:sz w:val="18"/>
                                <w:szCs w:val="18"/>
                              </w:rPr>
                              <w:t>s</w:t>
                            </w:r>
                            <w:r w:rsidRPr="00711677">
                              <w:rPr>
                                <w:sz w:val="18"/>
                                <w:szCs w:val="18"/>
                              </w:rPr>
                              <w:t xml:space="preserve"> on schedule </w:t>
                            </w:r>
                          </w:p>
                        </w:tc>
                      </w:tr>
                      <w:tr w:rsidR="00AC6896" w14:paraId="1344A88D" w14:textId="77777777" w:rsidTr="00711677">
                        <w:tc>
                          <w:tcPr>
                            <w:tcW w:w="817" w:type="dxa"/>
                            <w:shd w:val="clear" w:color="auto" w:fill="FFC000"/>
                          </w:tcPr>
                          <w:p w14:paraId="375AC444" w14:textId="77777777" w:rsidR="004B67E0" w:rsidRDefault="004B67E0"/>
                        </w:tc>
                        <w:tc>
                          <w:tcPr>
                            <w:tcW w:w="3768" w:type="dxa"/>
                          </w:tcPr>
                          <w:p w14:paraId="302840A4" w14:textId="77777777"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w:t>
                            </w:r>
                            <w:r w:rsidR="0015101D" w:rsidRPr="00711677">
                              <w:rPr>
                                <w:sz w:val="18"/>
                                <w:szCs w:val="18"/>
                              </w:rPr>
                              <w:t xml:space="preserve"> </w:t>
                            </w:r>
                            <w:r w:rsidR="007B5200" w:rsidRPr="00711677">
                              <w:rPr>
                                <w:sz w:val="18"/>
                                <w:szCs w:val="18"/>
                              </w:rPr>
                              <w:t>project</w:t>
                            </w:r>
                            <w:r w:rsidR="00B91563" w:rsidRPr="00711677">
                              <w:rPr>
                                <w:sz w:val="18"/>
                                <w:szCs w:val="18"/>
                              </w:rPr>
                              <w:t>s</w:t>
                            </w:r>
                            <w:r w:rsidRPr="00711677">
                              <w:rPr>
                                <w:sz w:val="18"/>
                                <w:szCs w:val="18"/>
                              </w:rPr>
                              <w:t xml:space="preserve"> behind schedule</w:t>
                            </w:r>
                          </w:p>
                        </w:tc>
                      </w:tr>
                      <w:tr w:rsidR="00AC6896" w14:paraId="7AD0D982" w14:textId="77777777" w:rsidTr="00711677">
                        <w:tc>
                          <w:tcPr>
                            <w:tcW w:w="817" w:type="dxa"/>
                            <w:shd w:val="clear" w:color="auto" w:fill="FF5757"/>
                          </w:tcPr>
                          <w:p w14:paraId="4C02DBF3" w14:textId="77777777" w:rsidR="004B67E0" w:rsidRDefault="004B67E0"/>
                        </w:tc>
                        <w:tc>
                          <w:tcPr>
                            <w:tcW w:w="3768" w:type="dxa"/>
                          </w:tcPr>
                          <w:p w14:paraId="24BCD1FF" w14:textId="77777777" w:rsidR="004B67E0" w:rsidRPr="00711677" w:rsidRDefault="004B67E0" w:rsidP="00711677">
                            <w:pPr>
                              <w:spacing w:line="240" w:lineRule="auto"/>
                              <w:rPr>
                                <w:sz w:val="18"/>
                                <w:szCs w:val="18"/>
                              </w:rPr>
                            </w:pPr>
                            <w:r w:rsidRPr="00711677">
                              <w:rPr>
                                <w:sz w:val="18"/>
                                <w:szCs w:val="18"/>
                              </w:rPr>
                              <w:t xml:space="preserve">Serious difficulties being experienced </w:t>
                            </w:r>
                            <w:r w:rsidR="00711677" w:rsidRPr="00711677">
                              <w:rPr>
                                <w:sz w:val="18"/>
                                <w:szCs w:val="18"/>
                              </w:rPr>
                              <w:t>– Internal factors</w:t>
                            </w:r>
                          </w:p>
                        </w:tc>
                      </w:tr>
                      <w:tr w:rsidR="00711677" w14:paraId="76C6DD65" w14:textId="77777777" w:rsidTr="00A75398">
                        <w:tc>
                          <w:tcPr>
                            <w:tcW w:w="817" w:type="dxa"/>
                            <w:shd w:val="clear" w:color="auto" w:fill="5F497A" w:themeFill="accent4" w:themeFillShade="BF"/>
                          </w:tcPr>
                          <w:p w14:paraId="39354112" w14:textId="77777777" w:rsidR="00711677" w:rsidRDefault="00711677"/>
                        </w:tc>
                        <w:tc>
                          <w:tcPr>
                            <w:tcW w:w="3768" w:type="dxa"/>
                          </w:tcPr>
                          <w:p w14:paraId="4B0E184B" w14:textId="77777777" w:rsidR="00711677" w:rsidRPr="00711677" w:rsidRDefault="00711677" w:rsidP="00711677">
                            <w:pPr>
                              <w:spacing w:line="240" w:lineRule="auto"/>
                              <w:rPr>
                                <w:sz w:val="18"/>
                                <w:szCs w:val="18"/>
                              </w:rPr>
                            </w:pPr>
                            <w:r w:rsidRPr="00711677">
                              <w:rPr>
                                <w:sz w:val="18"/>
                                <w:szCs w:val="18"/>
                              </w:rPr>
                              <w:t>Serious difficulties being experienced – External factors (beyond the control of the WG)</w:t>
                            </w:r>
                          </w:p>
                        </w:tc>
                      </w:tr>
                      <w:tr w:rsidR="00AC6896" w14:paraId="26ED2DA1" w14:textId="77777777" w:rsidTr="00711677">
                        <w:tc>
                          <w:tcPr>
                            <w:tcW w:w="817" w:type="dxa"/>
                            <w:shd w:val="clear" w:color="auto" w:fill="29D6FF"/>
                          </w:tcPr>
                          <w:p w14:paraId="462857F6" w14:textId="77777777" w:rsidR="004B67E0" w:rsidRDefault="004B67E0"/>
                        </w:tc>
                        <w:tc>
                          <w:tcPr>
                            <w:tcW w:w="3768" w:type="dxa"/>
                          </w:tcPr>
                          <w:p w14:paraId="14C36458" w14:textId="77777777" w:rsidR="004B67E0" w:rsidRPr="00711677" w:rsidRDefault="004B67E0" w:rsidP="00711677">
                            <w:pPr>
                              <w:spacing w:line="240" w:lineRule="auto"/>
                              <w:rPr>
                                <w:sz w:val="18"/>
                                <w:szCs w:val="18"/>
                              </w:rPr>
                            </w:pPr>
                            <w:r w:rsidRPr="00711677">
                              <w:rPr>
                                <w:sz w:val="18"/>
                                <w:szCs w:val="18"/>
                              </w:rPr>
                              <w:t>Not yet scheduled to start</w:t>
                            </w:r>
                          </w:p>
                        </w:tc>
                      </w:tr>
                      <w:tr w:rsidR="00AC6896" w14:paraId="4709566A" w14:textId="77777777" w:rsidTr="00711677">
                        <w:tc>
                          <w:tcPr>
                            <w:tcW w:w="817" w:type="dxa"/>
                            <w:shd w:val="clear" w:color="auto" w:fill="404040" w:themeFill="text1" w:themeFillTint="BF"/>
                          </w:tcPr>
                          <w:p w14:paraId="73FC5306" w14:textId="77777777" w:rsidR="004B67E0" w:rsidRDefault="004B67E0"/>
                        </w:tc>
                        <w:tc>
                          <w:tcPr>
                            <w:tcW w:w="3768" w:type="dxa"/>
                          </w:tcPr>
                          <w:p w14:paraId="320A0FB5" w14:textId="77777777" w:rsidR="004B67E0" w:rsidRDefault="004B67E0">
                            <w:r>
                              <w:t>Initiative</w:t>
                            </w:r>
                            <w:r w:rsidR="00B91563">
                              <w:t xml:space="preserve">s </w:t>
                            </w:r>
                            <w:r>
                              <w:t xml:space="preserve"> / project</w:t>
                            </w:r>
                            <w:r w:rsidR="00B91563">
                              <w:t>s</w:t>
                            </w:r>
                            <w:r>
                              <w:t xml:space="preserve"> completed </w:t>
                            </w:r>
                          </w:p>
                        </w:tc>
                      </w:tr>
                    </w:tbl>
                    <w:p w14:paraId="4C44FB2C" w14:textId="77777777" w:rsidR="004B67E0" w:rsidRDefault="004B67E0"/>
                  </w:txbxContent>
                </v:textbox>
              </v:shape>
            </w:pict>
          </mc:Fallback>
        </mc:AlternateContent>
      </w:r>
      <w:r w:rsidR="004D2A9C" w:rsidRPr="007E3B95">
        <w:rPr>
          <w:rFonts w:asciiTheme="majorHAnsi" w:eastAsia="Calibri" w:hAnsiTheme="majorHAnsi" w:cs="Times New Roman"/>
          <w:b/>
          <w:noProof/>
          <w:color w:val="244061" w:themeColor="accent1" w:themeShade="80"/>
          <w:spacing w:val="-2"/>
          <w:sz w:val="24"/>
          <w:szCs w:val="24"/>
          <w:lang w:val="en-US"/>
        </w:rPr>
        <mc:AlternateContent>
          <mc:Choice Requires="wps">
            <w:drawing>
              <wp:anchor distT="0" distB="0" distL="114300" distR="114300" simplePos="0" relativeHeight="251656192" behindDoc="0" locked="0" layoutInCell="1" allowOverlap="1" wp14:anchorId="68035E1C" wp14:editId="6AC08E7D">
                <wp:simplePos x="0" y="0"/>
                <wp:positionH relativeFrom="column">
                  <wp:posOffset>-172720</wp:posOffset>
                </wp:positionH>
                <wp:positionV relativeFrom="paragraph">
                  <wp:posOffset>-36195</wp:posOffset>
                </wp:positionV>
                <wp:extent cx="3625850" cy="525780"/>
                <wp:effectExtent l="0" t="0" r="12700" b="266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0" cy="525780"/>
                        </a:xfrm>
                        <a:prstGeom prst="rect">
                          <a:avLst/>
                        </a:prstGeom>
                        <a:solidFill>
                          <a:srgbClr val="FFFFFF"/>
                        </a:solidFill>
                        <a:ln w="9525">
                          <a:solidFill>
                            <a:schemeClr val="tx1">
                              <a:lumMod val="50000"/>
                              <a:lumOff val="50000"/>
                            </a:schemeClr>
                          </a:solidFill>
                          <a:miter lim="800000"/>
                          <a:headEnd/>
                          <a:tailEnd/>
                        </a:ln>
                      </wps:spPr>
                      <wps:txbx>
                        <w:txbxContent>
                          <w:p w14:paraId="1F6EAEFB" w14:textId="77777777" w:rsidR="003F1F75" w:rsidRPr="003F1F75" w:rsidRDefault="00711677" w:rsidP="003F1F75">
                            <w:pPr>
                              <w:jc w:val="center"/>
                              <w:rPr>
                                <w:b/>
                                <w:color w:val="7F7F7F" w:themeColor="text1" w:themeTint="80"/>
                                <w:sz w:val="24"/>
                              </w:rPr>
                            </w:pPr>
                            <w:r>
                              <w:rPr>
                                <w:b/>
                                <w:color w:val="595959" w:themeColor="text1" w:themeTint="A6"/>
                                <w:sz w:val="24"/>
                              </w:rPr>
                              <w:t>R</w:t>
                            </w:r>
                            <w:r w:rsidR="003F1F75" w:rsidRPr="00E0200F">
                              <w:rPr>
                                <w:b/>
                                <w:color w:val="595959" w:themeColor="text1" w:themeTint="A6"/>
                                <w:sz w:val="24"/>
                              </w:rPr>
                              <w:t>eporting dashboard</w:t>
                            </w:r>
                            <w:r w:rsidR="004D2A9C">
                              <w:rPr>
                                <w:b/>
                                <w:color w:val="595959" w:themeColor="text1" w:themeTint="A6"/>
                                <w:sz w:val="24"/>
                              </w:rPr>
                              <w:t xml:space="preserve"> - </w:t>
                            </w:r>
                            <w:r w:rsidRPr="00711677">
                              <w:rPr>
                                <w:b/>
                                <w:i/>
                                <w:color w:val="595959" w:themeColor="text1" w:themeTint="A6"/>
                                <w:sz w:val="24"/>
                              </w:rPr>
                              <w:t>Working Group</w:t>
                            </w:r>
                            <w:r w:rsidR="004D2A9C">
                              <w:rPr>
                                <w:b/>
                                <w:i/>
                                <w:color w:val="595959" w:themeColor="text1" w:themeTint="A6"/>
                                <w:sz w:val="24"/>
                              </w:rPr>
                              <w:t xml:space="preserve"> on Financial Modernization and Regulatory Reform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035E1C" id="_x0000_s1027" type="#_x0000_t202" style="position:absolute;left:0;text-align:left;margin-left:-13.6pt;margin-top:-2.85pt;width:285.5pt;height:4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" strokecolor="gray [1629]">
                <v:textbox>
                  <w:txbxContent>
                    <w:p w14:paraId="1F6EAEFB" w14:textId="77777777" w:rsidR="003F1F75" w:rsidRPr="003F1F75" w:rsidRDefault="00711677" w:rsidP="003F1F75">
                      <w:pPr>
                        <w:jc w:val="center"/>
                        <w:rPr>
                          <w:b/>
                          <w:color w:val="7F7F7F" w:themeColor="text1" w:themeTint="80"/>
                          <w:sz w:val="24"/>
                        </w:rPr>
                      </w:pPr>
                      <w:r>
                        <w:rPr>
                          <w:b/>
                          <w:color w:val="595959" w:themeColor="text1" w:themeTint="A6"/>
                          <w:sz w:val="24"/>
                        </w:rPr>
                        <w:t>R</w:t>
                      </w:r>
                      <w:r w:rsidR="003F1F75" w:rsidRPr="00E0200F">
                        <w:rPr>
                          <w:b/>
                          <w:color w:val="595959" w:themeColor="text1" w:themeTint="A6"/>
                          <w:sz w:val="24"/>
                        </w:rPr>
                        <w:t>eporting dashboard</w:t>
                      </w:r>
                      <w:r w:rsidR="004D2A9C">
                        <w:rPr>
                          <w:b/>
                          <w:color w:val="595959" w:themeColor="text1" w:themeTint="A6"/>
                          <w:sz w:val="24"/>
                        </w:rPr>
                        <w:t xml:space="preserve"> - </w:t>
                      </w:r>
                      <w:r w:rsidRPr="00711677">
                        <w:rPr>
                          <w:b/>
                          <w:i/>
                          <w:color w:val="595959" w:themeColor="text1" w:themeTint="A6"/>
                          <w:sz w:val="24"/>
                        </w:rPr>
                        <w:t>Working Group</w:t>
                      </w:r>
                      <w:r w:rsidR="004D2A9C">
                        <w:rPr>
                          <w:b/>
                          <w:i/>
                          <w:color w:val="595959" w:themeColor="text1" w:themeTint="A6"/>
                          <w:sz w:val="24"/>
                        </w:rPr>
                        <w:t xml:space="preserve"> on Financial Modernization and Regulatory Reform</w:t>
                      </w:r>
                    </w:p>
                  </w:txbxContent>
                </v:textbox>
              </v:shape>
            </w:pict>
          </mc:Fallback>
        </mc:AlternateContent>
      </w:r>
      <w:r w:rsidR="00711677" w:rsidRPr="007E3B95">
        <w:rPr>
          <w:rFonts w:asciiTheme="majorHAnsi" w:eastAsia="Times New Roman" w:hAnsiTheme="majorHAnsi" w:cs="Times New Roman"/>
          <w:b/>
          <w:noProof/>
          <w:color w:val="008080"/>
          <w:sz w:val="24"/>
          <w:szCs w:val="24"/>
          <w:lang w:val="en-US"/>
        </w:rPr>
        <mc:AlternateContent>
          <mc:Choice Requires="wps">
            <w:drawing>
              <wp:anchor distT="0" distB="0" distL="114300" distR="114300" simplePos="0" relativeHeight="251660288" behindDoc="0" locked="0" layoutInCell="1" allowOverlap="1" wp14:anchorId="1599B16C" wp14:editId="443841B1">
                <wp:simplePos x="0" y="0"/>
                <wp:positionH relativeFrom="column">
                  <wp:posOffset>3614468</wp:posOffset>
                </wp:positionH>
                <wp:positionV relativeFrom="paragraph">
                  <wp:posOffset>-449580</wp:posOffset>
                </wp:positionV>
                <wp:extent cx="1863306" cy="1403985"/>
                <wp:effectExtent l="0" t="0" r="3810"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3306" cy="1403985"/>
                        </a:xfrm>
                        <a:prstGeom prst="rect">
                          <a:avLst/>
                        </a:prstGeom>
                        <a:solidFill>
                          <a:srgbClr val="FFFFFF"/>
                        </a:solidFill>
                        <a:ln w="9525">
                          <a:noFill/>
                          <a:miter lim="800000"/>
                          <a:headEnd/>
                          <a:tailEnd/>
                        </a:ln>
                      </wps:spPr>
                      <wps:txbx>
                        <w:txbxContent>
                          <w:p w14:paraId="673E5E8C" w14:textId="0194F8C2" w:rsidR="000808AF" w:rsidRPr="000808AF" w:rsidRDefault="00270145">
                            <w:pPr>
                              <w:rPr>
                                <w:rFonts w:ascii="Arial Narrow" w:hAnsi="Arial Narrow"/>
                                <w:b/>
                                <w:color w:val="C00000"/>
                              </w:rPr>
                            </w:pPr>
                            <w:r>
                              <w:rPr>
                                <w:rFonts w:asciiTheme="majorHAnsi" w:eastAsia="Times New Roman" w:hAnsiTheme="majorHAnsi" w:cs="Times New Roman"/>
                                <w:color w:val="244061" w:themeColor="accent1" w:themeShade="80"/>
                                <w:sz w:val="24"/>
                                <w:szCs w:val="24"/>
                                <w:lang w:val="en-US"/>
                              </w:rPr>
                              <w:t>KSC work plan 20</w:t>
                            </w:r>
                            <w:r w:rsidR="00F9219E">
                              <w:rPr>
                                <w:rFonts w:asciiTheme="majorHAnsi" w:eastAsia="Times New Roman" w:hAnsiTheme="majorHAnsi" w:cs="Times New Roman"/>
                                <w:color w:val="244061" w:themeColor="accent1" w:themeShade="80"/>
                                <w:sz w:val="24"/>
                                <w:szCs w:val="24"/>
                                <w:lang w:val="en-US"/>
                              </w:rPr>
                              <w:t>20</w:t>
                            </w:r>
                            <w:r>
                              <w:rPr>
                                <w:rFonts w:asciiTheme="majorHAnsi" w:eastAsia="Times New Roman" w:hAnsiTheme="majorHAnsi" w:cs="Times New Roman"/>
                                <w:color w:val="244061" w:themeColor="accent1" w:themeShade="80"/>
                                <w:sz w:val="24"/>
                                <w:szCs w:val="24"/>
                                <w:lang w:val="en-US"/>
                              </w:rPr>
                              <w:t>-2</w:t>
                            </w:r>
                            <w:r w:rsidR="00F9219E">
                              <w:rPr>
                                <w:rFonts w:asciiTheme="majorHAnsi" w:eastAsia="Times New Roman" w:hAnsiTheme="majorHAnsi" w:cs="Times New Roman"/>
                                <w:color w:val="244061" w:themeColor="accent1" w:themeShade="80"/>
                                <w:sz w:val="24"/>
                                <w:szCs w:val="24"/>
                                <w:lang w:val="en-US"/>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99B16C" id="_x0000_s1028" type="#_x0000_t202" style="position:absolute;left:0;text-align:left;margin-left:284.6pt;margin-top:-35.4pt;width:146.7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" stroked="f">
                <v:textbox style="mso-fit-shape-to-text:t">
                  <w:txbxContent>
                    <w:p w14:paraId="673E5E8C" w14:textId="0194F8C2" w:rsidR="000808AF" w:rsidRPr="000808AF" w:rsidRDefault="00270145">
                      <w:pPr>
                        <w:rPr>
                          <w:rFonts w:ascii="Arial Narrow" w:hAnsi="Arial Narrow"/>
                          <w:b/>
                          <w:color w:val="C00000"/>
                        </w:rPr>
                      </w:pPr>
                      <w:r>
                        <w:rPr>
                          <w:rFonts w:asciiTheme="majorHAnsi" w:eastAsia="Times New Roman" w:hAnsiTheme="majorHAnsi" w:cs="Times New Roman"/>
                          <w:color w:val="244061" w:themeColor="accent1" w:themeShade="80"/>
                          <w:sz w:val="24"/>
                          <w:szCs w:val="24"/>
                          <w:lang w:val="en-US"/>
                        </w:rPr>
                        <w:t>KSC work plan 20</w:t>
                      </w:r>
                      <w:r w:rsidR="00F9219E">
                        <w:rPr>
                          <w:rFonts w:asciiTheme="majorHAnsi" w:eastAsia="Times New Roman" w:hAnsiTheme="majorHAnsi" w:cs="Times New Roman"/>
                          <w:color w:val="244061" w:themeColor="accent1" w:themeShade="80"/>
                          <w:sz w:val="24"/>
                          <w:szCs w:val="24"/>
                          <w:lang w:val="en-US"/>
                        </w:rPr>
                        <w:t>20</w:t>
                      </w:r>
                      <w:r>
                        <w:rPr>
                          <w:rFonts w:asciiTheme="majorHAnsi" w:eastAsia="Times New Roman" w:hAnsiTheme="majorHAnsi" w:cs="Times New Roman"/>
                          <w:color w:val="244061" w:themeColor="accent1" w:themeShade="80"/>
                          <w:sz w:val="24"/>
                          <w:szCs w:val="24"/>
                          <w:lang w:val="en-US"/>
                        </w:rPr>
                        <w:t>-2</w:t>
                      </w:r>
                      <w:r w:rsidR="00F9219E">
                        <w:rPr>
                          <w:rFonts w:asciiTheme="majorHAnsi" w:eastAsia="Times New Roman" w:hAnsiTheme="majorHAnsi" w:cs="Times New Roman"/>
                          <w:color w:val="244061" w:themeColor="accent1" w:themeShade="80"/>
                          <w:sz w:val="24"/>
                          <w:szCs w:val="24"/>
                          <w:lang w:val="en-US"/>
                        </w:rPr>
                        <w:t>2</w:t>
                      </w:r>
                    </w:p>
                  </w:txbxContent>
                </v:textbox>
              </v:shape>
            </w:pict>
          </mc:Fallback>
        </mc:AlternateContent>
      </w:r>
      <w:r w:rsidR="004D2A9C" w:rsidRPr="007E3B95">
        <w:rPr>
          <w:rFonts w:asciiTheme="majorHAnsi" w:eastAsia="Times New Roman" w:hAnsiTheme="majorHAnsi" w:cs="Times New Roman"/>
          <w:color w:val="244061" w:themeColor="accent1" w:themeShade="80"/>
          <w:sz w:val="24"/>
          <w:szCs w:val="24"/>
          <w:lang w:val="en-US"/>
        </w:rPr>
        <w:t xml:space="preserve"> W</w:t>
      </w:r>
    </w:p>
    <w:p w14:paraId="5FB23958" w14:textId="77777777" w:rsidR="00711677" w:rsidRPr="007E3B95" w:rsidRDefault="009F715C" w:rsidP="001F3ED5">
      <w:pPr>
        <w:spacing w:after="120" w:line="240" w:lineRule="auto"/>
        <w:ind w:left="720" w:hanging="862"/>
        <w:rPr>
          <w:rFonts w:asciiTheme="majorHAnsi" w:eastAsia="Times New Roman" w:hAnsiTheme="majorHAnsi" w:cs="Times New Roman"/>
          <w:b/>
          <w:color w:val="008080"/>
          <w:sz w:val="20"/>
          <w:szCs w:val="20"/>
          <w:lang w:val="en-US"/>
        </w:rPr>
      </w:pPr>
      <w:r w:rsidRPr="007E3B95">
        <w:rPr>
          <w:rFonts w:asciiTheme="majorHAnsi" w:eastAsia="Times New Roman" w:hAnsiTheme="majorHAnsi" w:cs="Times New Roman"/>
          <w:b/>
          <w:color w:val="008080"/>
          <w:sz w:val="20"/>
          <w:szCs w:val="20"/>
          <w:lang w:val="en-US"/>
        </w:rPr>
        <w:t xml:space="preserve">     </w:t>
      </w:r>
    </w:p>
    <w:p w14:paraId="534EBD75" w14:textId="002C0D36" w:rsidR="006D331D" w:rsidRPr="007E3B95" w:rsidRDefault="009F715C" w:rsidP="00AE36C3">
      <w:pPr>
        <w:spacing w:after="120" w:line="240" w:lineRule="auto"/>
        <w:ind w:left="720" w:hanging="862"/>
        <w:rPr>
          <w:rFonts w:asciiTheme="majorHAnsi" w:eastAsia="Times New Roman" w:hAnsiTheme="majorHAnsi" w:cs="Times New Roman"/>
          <w:b/>
          <w:color w:val="008080"/>
          <w:sz w:val="20"/>
          <w:szCs w:val="20"/>
          <w:lang w:val="en-US"/>
        </w:rPr>
      </w:pPr>
      <w:r w:rsidRPr="007E3B95">
        <w:rPr>
          <w:rFonts w:asciiTheme="majorHAnsi" w:eastAsia="Times New Roman" w:hAnsiTheme="majorHAnsi" w:cs="Times New Roman"/>
          <w:b/>
          <w:color w:val="008080"/>
          <w:sz w:val="20"/>
          <w:szCs w:val="20"/>
          <w:lang w:val="en-US"/>
        </w:rPr>
        <w:t xml:space="preserve"> </w:t>
      </w:r>
      <w:r w:rsidR="007B5200" w:rsidRPr="007E3B95">
        <w:rPr>
          <w:rFonts w:asciiTheme="majorHAnsi" w:eastAsia="Times New Roman" w:hAnsiTheme="majorHAnsi" w:cs="Times New Roman"/>
          <w:b/>
          <w:color w:val="008080"/>
          <w:sz w:val="20"/>
          <w:szCs w:val="20"/>
          <w:lang w:val="en-US"/>
        </w:rPr>
        <w:t>Strategic objectives review</w:t>
      </w:r>
      <w:r w:rsidR="0015101D" w:rsidRPr="007E3B95">
        <w:rPr>
          <w:rFonts w:asciiTheme="majorHAnsi" w:eastAsia="Times New Roman" w:hAnsiTheme="majorHAnsi" w:cs="Times New Roman"/>
          <w:b/>
          <w:color w:val="008080"/>
          <w:sz w:val="20"/>
          <w:szCs w:val="20"/>
          <w:lang w:val="en-US"/>
        </w:rPr>
        <w:t xml:space="preserve"> </w:t>
      </w:r>
      <w:r w:rsidR="007B5200" w:rsidRPr="007E3B95">
        <w:rPr>
          <w:rFonts w:asciiTheme="majorHAnsi" w:eastAsia="Times New Roman" w:hAnsiTheme="majorHAnsi" w:cs="Times New Roman"/>
          <w:b/>
          <w:color w:val="008080"/>
          <w:sz w:val="20"/>
          <w:szCs w:val="20"/>
          <w:lang w:val="en-US"/>
        </w:rPr>
        <w:t>r</w:t>
      </w:r>
      <w:r w:rsidR="000808AF" w:rsidRPr="007E3B95">
        <w:rPr>
          <w:rFonts w:asciiTheme="majorHAnsi" w:eastAsia="Times New Roman" w:hAnsiTheme="majorHAnsi" w:cs="Times New Roman"/>
          <w:b/>
          <w:color w:val="008080"/>
          <w:sz w:val="20"/>
          <w:szCs w:val="20"/>
          <w:lang w:val="en-US"/>
        </w:rPr>
        <w:t xml:space="preserve">eport </w:t>
      </w:r>
      <w:r w:rsidR="00154AB4">
        <w:rPr>
          <w:rFonts w:asciiTheme="majorHAnsi" w:eastAsia="Times New Roman" w:hAnsiTheme="majorHAnsi" w:cs="Times New Roman"/>
          <w:b/>
          <w:color w:val="008080"/>
          <w:sz w:val="20"/>
          <w:szCs w:val="20"/>
          <w:lang w:val="en-US"/>
        </w:rPr>
        <w:t>for 2021</w:t>
      </w:r>
    </w:p>
    <w:p w14:paraId="0EC71F34" w14:textId="77777777" w:rsidR="00ED2F6A" w:rsidRPr="007E3B95" w:rsidRDefault="00ED2F6A" w:rsidP="001F3ED5">
      <w:pPr>
        <w:spacing w:after="120" w:line="240" w:lineRule="auto"/>
        <w:ind w:left="720" w:hanging="862"/>
        <w:rPr>
          <w:rFonts w:asciiTheme="majorHAnsi" w:eastAsia="Times New Roman" w:hAnsiTheme="majorHAnsi" w:cs="Times New Roman"/>
          <w:sz w:val="20"/>
          <w:szCs w:val="20"/>
          <w:lang w:val="en-US"/>
        </w:rPr>
      </w:pPr>
    </w:p>
    <w:p w14:paraId="45D9665E" w14:textId="77777777" w:rsidR="00154AB4" w:rsidRPr="007E3B95" w:rsidRDefault="00154AB4" w:rsidP="001F3ED5">
      <w:pPr>
        <w:spacing w:after="120" w:line="240" w:lineRule="auto"/>
        <w:ind w:left="720" w:hanging="862"/>
        <w:rPr>
          <w:rFonts w:asciiTheme="majorHAnsi" w:eastAsia="Times New Roman" w:hAnsiTheme="majorHAnsi" w:cs="Times New Roman"/>
          <w:sz w:val="20"/>
          <w:szCs w:val="20"/>
          <w:lang w:val="en-US"/>
        </w:rPr>
      </w:pPr>
    </w:p>
    <w:tbl>
      <w:tblPr>
        <w:tblStyle w:val="TableGrid"/>
        <w:tblW w:w="0" w:type="auto"/>
        <w:tblInd w:w="-356" w:type="dxa"/>
        <w:tblCellMar>
          <w:left w:w="115" w:type="dxa"/>
          <w:right w:w="115" w:type="dxa"/>
        </w:tblCellMar>
        <w:tblLook w:val="04A0" w:firstRow="1" w:lastRow="0" w:firstColumn="1" w:lastColumn="0" w:noHBand="0" w:noVBand="1"/>
      </w:tblPr>
      <w:tblGrid>
        <w:gridCol w:w="2246"/>
        <w:gridCol w:w="3145"/>
        <w:gridCol w:w="3510"/>
        <w:gridCol w:w="5400"/>
      </w:tblGrid>
      <w:tr w:rsidR="00711677" w:rsidRPr="007E3B95" w14:paraId="1B1653E0" w14:textId="77777777" w:rsidTr="0052327A">
        <w:trPr>
          <w:tblHeader/>
        </w:trPr>
        <w:tc>
          <w:tcPr>
            <w:tcW w:w="2246" w:type="dxa"/>
            <w:shd w:val="clear" w:color="auto" w:fill="244061" w:themeFill="accent1" w:themeFillShade="80"/>
            <w:vAlign w:val="center"/>
          </w:tcPr>
          <w:p w14:paraId="390809FE" w14:textId="77777777" w:rsidR="00711677" w:rsidRPr="007E3B95" w:rsidRDefault="00711677" w:rsidP="007326AB">
            <w:pPr>
              <w:spacing w:line="240" w:lineRule="atLeast"/>
              <w:jc w:val="center"/>
              <w:rPr>
                <w:rFonts w:asciiTheme="majorHAnsi" w:hAnsiTheme="majorHAnsi"/>
                <w:b/>
                <w:color w:val="FFFFFF" w:themeColor="background1"/>
              </w:rPr>
            </w:pPr>
            <w:bookmarkStart w:id="0" w:name="_GoBack"/>
            <w:bookmarkEnd w:id="0"/>
            <w:r w:rsidRPr="007E3B95">
              <w:rPr>
                <w:rFonts w:asciiTheme="majorHAnsi" w:hAnsiTheme="majorHAnsi"/>
                <w:b/>
                <w:color w:val="FFFFFF" w:themeColor="background1"/>
              </w:rPr>
              <w:t>Strategic objective</w:t>
            </w:r>
          </w:p>
          <w:p w14:paraId="04743A0E" w14:textId="77777777" w:rsidR="00711677" w:rsidRPr="007E3B95" w:rsidRDefault="00711677" w:rsidP="007326AB">
            <w:pPr>
              <w:spacing w:line="240" w:lineRule="atLeast"/>
              <w:jc w:val="center"/>
              <w:rPr>
                <w:rFonts w:asciiTheme="majorHAnsi" w:hAnsiTheme="majorHAnsi"/>
                <w:color w:val="FFFFFF" w:themeColor="background1"/>
              </w:rPr>
            </w:pPr>
            <w:r w:rsidRPr="007E3B95">
              <w:rPr>
                <w:rFonts w:asciiTheme="majorHAnsi" w:hAnsiTheme="majorHAnsi"/>
                <w:color w:val="FFFFFF" w:themeColor="background1"/>
              </w:rPr>
              <w:t>(as per SP 2017-22)</w:t>
            </w:r>
          </w:p>
        </w:tc>
        <w:tc>
          <w:tcPr>
            <w:tcW w:w="3145" w:type="dxa"/>
            <w:shd w:val="clear" w:color="auto" w:fill="244061" w:themeFill="accent1" w:themeFillShade="80"/>
            <w:vAlign w:val="center"/>
          </w:tcPr>
          <w:p w14:paraId="79E3EA52" w14:textId="77777777" w:rsidR="00711677" w:rsidRPr="007E3B95" w:rsidRDefault="00711677" w:rsidP="007326AB">
            <w:pPr>
              <w:spacing w:line="240" w:lineRule="atLeast"/>
              <w:jc w:val="center"/>
              <w:rPr>
                <w:rFonts w:asciiTheme="majorHAnsi" w:hAnsiTheme="majorHAnsi"/>
                <w:b/>
                <w:color w:val="FFFFFF" w:themeColor="background1"/>
              </w:rPr>
            </w:pPr>
            <w:r w:rsidRPr="007E3B95">
              <w:rPr>
                <w:rFonts w:asciiTheme="majorHAnsi" w:hAnsiTheme="majorHAnsi"/>
                <w:b/>
                <w:color w:val="FFFFFF" w:themeColor="background1"/>
              </w:rPr>
              <w:t xml:space="preserve">Strategies &amp; initiatives </w:t>
            </w:r>
          </w:p>
          <w:p w14:paraId="37A157AE" w14:textId="77777777" w:rsidR="00711677" w:rsidRPr="007E3B95" w:rsidRDefault="00711677" w:rsidP="007326AB">
            <w:pPr>
              <w:spacing w:line="240" w:lineRule="atLeast"/>
              <w:jc w:val="center"/>
              <w:rPr>
                <w:rFonts w:asciiTheme="majorHAnsi" w:hAnsiTheme="majorHAnsi"/>
                <w:color w:val="FFFFFF" w:themeColor="background1"/>
              </w:rPr>
            </w:pPr>
            <w:r w:rsidRPr="007E3B95">
              <w:rPr>
                <w:rFonts w:asciiTheme="majorHAnsi" w:hAnsiTheme="majorHAnsi"/>
                <w:color w:val="FFFFFF" w:themeColor="background1"/>
              </w:rPr>
              <w:t>(as per SP 2017-22)</w:t>
            </w:r>
          </w:p>
        </w:tc>
        <w:tc>
          <w:tcPr>
            <w:tcW w:w="3510" w:type="dxa"/>
            <w:shd w:val="clear" w:color="auto" w:fill="244061" w:themeFill="accent1" w:themeFillShade="80"/>
            <w:vAlign w:val="center"/>
          </w:tcPr>
          <w:p w14:paraId="43AD8CD8" w14:textId="77777777" w:rsidR="00711677" w:rsidRPr="007E3B95" w:rsidRDefault="00711677" w:rsidP="007326AB">
            <w:pPr>
              <w:spacing w:line="240" w:lineRule="atLeast"/>
              <w:jc w:val="center"/>
              <w:rPr>
                <w:rFonts w:asciiTheme="majorHAnsi" w:hAnsiTheme="majorHAnsi"/>
                <w:b/>
                <w:color w:val="FFFFFF" w:themeColor="background1"/>
              </w:rPr>
            </w:pPr>
            <w:r w:rsidRPr="007E3B95">
              <w:rPr>
                <w:rFonts w:asciiTheme="majorHAnsi" w:hAnsiTheme="majorHAnsi"/>
                <w:b/>
                <w:color w:val="FFFFFF" w:themeColor="background1"/>
              </w:rPr>
              <w:t xml:space="preserve">Performance  </w:t>
            </w:r>
          </w:p>
          <w:p w14:paraId="7401241D" w14:textId="77777777" w:rsidR="00711677" w:rsidRPr="007E3B95" w:rsidRDefault="00711677" w:rsidP="007326AB">
            <w:pPr>
              <w:spacing w:line="240" w:lineRule="atLeast"/>
              <w:jc w:val="center"/>
              <w:rPr>
                <w:rFonts w:asciiTheme="majorHAnsi" w:hAnsiTheme="majorHAnsi"/>
                <w:b/>
                <w:color w:val="FFFFFF" w:themeColor="background1"/>
              </w:rPr>
            </w:pPr>
            <w:r w:rsidRPr="007E3B95">
              <w:rPr>
                <w:rFonts w:asciiTheme="majorHAnsi" w:hAnsiTheme="majorHAnsi"/>
                <w:b/>
                <w:color w:val="FFFFFF" w:themeColor="background1"/>
              </w:rPr>
              <w:t>indicator</w:t>
            </w:r>
            <w:r w:rsidRPr="007E3B95">
              <w:rPr>
                <w:rStyle w:val="FootnoteReference"/>
                <w:rFonts w:asciiTheme="majorHAnsi" w:hAnsiTheme="majorHAnsi"/>
                <w:b/>
                <w:color w:val="FFFFFF" w:themeColor="background1"/>
              </w:rPr>
              <w:footnoteReference w:id="1"/>
            </w:r>
          </w:p>
        </w:tc>
        <w:tc>
          <w:tcPr>
            <w:tcW w:w="5400" w:type="dxa"/>
            <w:shd w:val="clear" w:color="auto" w:fill="244061" w:themeFill="accent1" w:themeFillShade="80"/>
            <w:vAlign w:val="center"/>
          </w:tcPr>
          <w:p w14:paraId="6AD37115" w14:textId="77777777" w:rsidR="00711677" w:rsidRPr="007E3B95" w:rsidRDefault="00711677" w:rsidP="007326AB">
            <w:pPr>
              <w:spacing w:line="240" w:lineRule="atLeast"/>
              <w:jc w:val="center"/>
              <w:rPr>
                <w:rFonts w:asciiTheme="majorHAnsi" w:hAnsiTheme="majorHAnsi"/>
                <w:b/>
                <w:color w:val="FFFFFF" w:themeColor="background1"/>
              </w:rPr>
            </w:pPr>
            <w:r w:rsidRPr="007E3B95">
              <w:rPr>
                <w:rFonts w:asciiTheme="majorHAnsi" w:hAnsiTheme="majorHAnsi"/>
                <w:b/>
                <w:color w:val="FFFFFF" w:themeColor="background1"/>
              </w:rPr>
              <w:t>Action items</w:t>
            </w:r>
            <w:r w:rsidRPr="007E3B95">
              <w:rPr>
                <w:rStyle w:val="FootnoteReference"/>
                <w:rFonts w:asciiTheme="majorHAnsi" w:hAnsiTheme="majorHAnsi"/>
                <w:b/>
                <w:color w:val="FFFFFF" w:themeColor="background1"/>
              </w:rPr>
              <w:footnoteReference w:id="2"/>
            </w:r>
          </w:p>
          <w:p w14:paraId="4CA618E8" w14:textId="77777777" w:rsidR="00711677" w:rsidRPr="007E3B95" w:rsidRDefault="00711677" w:rsidP="007326AB">
            <w:pPr>
              <w:spacing w:line="240" w:lineRule="atLeast"/>
              <w:jc w:val="center"/>
              <w:rPr>
                <w:rFonts w:asciiTheme="majorHAnsi" w:hAnsiTheme="majorHAnsi"/>
                <w:b/>
                <w:color w:val="FFFFFF" w:themeColor="background1"/>
              </w:rPr>
            </w:pPr>
            <w:r w:rsidRPr="007E3B95">
              <w:rPr>
                <w:rFonts w:asciiTheme="majorHAnsi" w:hAnsiTheme="majorHAnsi"/>
                <w:b/>
                <w:color w:val="FFFFFF" w:themeColor="background1"/>
              </w:rPr>
              <w:t xml:space="preserve">and other comment </w:t>
            </w:r>
          </w:p>
        </w:tc>
      </w:tr>
      <w:tr w:rsidR="00937EB2" w:rsidRPr="007E3B95" w14:paraId="0FD44853" w14:textId="77777777" w:rsidTr="007418E2">
        <w:trPr>
          <w:trHeight w:val="1660"/>
        </w:trPr>
        <w:tc>
          <w:tcPr>
            <w:tcW w:w="2246" w:type="dxa"/>
          </w:tcPr>
          <w:p w14:paraId="5D80BC1F" w14:textId="1EA5F469" w:rsidR="00937EB2" w:rsidRPr="007E3B95" w:rsidRDefault="0052327A" w:rsidP="009512DC">
            <w:pPr>
              <w:autoSpaceDE w:val="0"/>
              <w:autoSpaceDN w:val="0"/>
              <w:adjustRightInd w:val="0"/>
              <w:spacing w:after="120" w:line="240" w:lineRule="auto"/>
              <w:rPr>
                <w:rFonts w:asciiTheme="majorHAnsi" w:hAnsiTheme="majorHAnsi"/>
              </w:rPr>
            </w:pPr>
            <w:r>
              <w:rPr>
                <w:rFonts w:asciiTheme="majorHAnsi" w:hAnsiTheme="majorHAnsi" w:cs="Arial"/>
              </w:rPr>
              <w:t xml:space="preserve">GOAL 1: </w:t>
            </w:r>
            <w:r w:rsidR="00937EB2" w:rsidRPr="007E3B95">
              <w:rPr>
                <w:rFonts w:asciiTheme="majorHAnsi" w:hAnsiTheme="majorHAnsi" w:cs="Arial"/>
              </w:rPr>
              <w:t xml:space="preserve">Develop tools and knowledge-sharing opportunities to enhance the capacity of supreme audit institutions (SAIs) </w:t>
            </w:r>
            <w:r w:rsidR="005E4776">
              <w:rPr>
                <w:rFonts w:asciiTheme="majorHAnsi" w:hAnsiTheme="majorHAnsi" w:cs="Arial"/>
              </w:rPr>
              <w:t>in evaluating</w:t>
            </w:r>
            <w:r w:rsidR="00937EB2" w:rsidRPr="007E3B95">
              <w:rPr>
                <w:rFonts w:asciiTheme="majorHAnsi" w:hAnsiTheme="majorHAnsi" w:cs="Arial"/>
              </w:rPr>
              <w:t xml:space="preserve"> financial modernization and regulatory reforms on a national level</w:t>
            </w:r>
          </w:p>
          <w:p w14:paraId="2EBDD9F0" w14:textId="77777777" w:rsidR="00937EB2" w:rsidRPr="007E3B95" w:rsidRDefault="00937EB2" w:rsidP="009512DC">
            <w:pPr>
              <w:autoSpaceDE w:val="0"/>
              <w:autoSpaceDN w:val="0"/>
              <w:adjustRightInd w:val="0"/>
              <w:spacing w:after="120" w:line="240" w:lineRule="auto"/>
              <w:rPr>
                <w:rFonts w:asciiTheme="majorHAnsi" w:eastAsia="Calibri" w:hAnsiTheme="majorHAnsi"/>
                <w:spacing w:val="-2"/>
              </w:rPr>
            </w:pPr>
          </w:p>
        </w:tc>
        <w:tc>
          <w:tcPr>
            <w:tcW w:w="3145" w:type="dxa"/>
            <w:shd w:val="clear" w:color="auto" w:fill="auto"/>
          </w:tcPr>
          <w:p w14:paraId="67BFB4C3" w14:textId="7F375CA6" w:rsidR="00937EB2" w:rsidRDefault="009512DC" w:rsidP="009512DC">
            <w:pPr>
              <w:spacing w:after="120" w:line="240" w:lineRule="auto"/>
              <w:rPr>
                <w:rFonts w:asciiTheme="majorHAnsi" w:eastAsia="Calibri" w:hAnsiTheme="majorHAnsi"/>
                <w:spacing w:val="-1"/>
              </w:rPr>
            </w:pPr>
            <w:r>
              <w:rPr>
                <w:rFonts w:asciiTheme="majorHAnsi" w:eastAsia="Calibri" w:hAnsiTheme="majorHAnsi"/>
                <w:spacing w:val="-1"/>
              </w:rPr>
              <w:t xml:space="preserve">Work stream 1.1: </w:t>
            </w:r>
            <w:r w:rsidR="00535A16" w:rsidRPr="00535A16">
              <w:rPr>
                <w:rFonts w:asciiTheme="majorHAnsi" w:eastAsia="Calibri" w:hAnsiTheme="majorHAnsi"/>
                <w:spacing w:val="-1"/>
              </w:rPr>
              <w:t>Continue to provide opportunities for working group members to share information on recently completed work and evaluation methodologies, including in collaboration with other INTOSAI working groups of interest.</w:t>
            </w:r>
          </w:p>
          <w:p w14:paraId="0E5B60D9" w14:textId="77777777" w:rsidR="009512DC" w:rsidRDefault="009512DC" w:rsidP="009512DC">
            <w:pPr>
              <w:spacing w:after="120" w:line="240" w:lineRule="auto"/>
              <w:rPr>
                <w:rFonts w:asciiTheme="majorHAnsi" w:eastAsia="Calibri" w:hAnsiTheme="majorHAnsi"/>
                <w:spacing w:val="-1"/>
              </w:rPr>
            </w:pPr>
          </w:p>
          <w:p w14:paraId="23920BB3" w14:textId="7ACB1439" w:rsidR="009512DC" w:rsidRDefault="009512DC" w:rsidP="009512DC">
            <w:pPr>
              <w:pBdr>
                <w:bottom w:val="single" w:sz="6" w:space="1" w:color="auto"/>
              </w:pBdr>
              <w:spacing w:after="120" w:line="240" w:lineRule="auto"/>
              <w:rPr>
                <w:rFonts w:asciiTheme="majorHAnsi" w:eastAsia="Calibri" w:hAnsiTheme="majorHAnsi"/>
                <w:spacing w:val="-1"/>
              </w:rPr>
            </w:pPr>
          </w:p>
          <w:p w14:paraId="5BD3CA56" w14:textId="77777777" w:rsidR="00E65CAD" w:rsidRDefault="00E65CAD" w:rsidP="009512DC">
            <w:pPr>
              <w:pBdr>
                <w:bottom w:val="single" w:sz="6" w:space="1" w:color="auto"/>
              </w:pBdr>
              <w:spacing w:after="120" w:line="240" w:lineRule="auto"/>
              <w:rPr>
                <w:rFonts w:asciiTheme="majorHAnsi" w:eastAsia="Calibri" w:hAnsiTheme="majorHAnsi"/>
                <w:spacing w:val="-1"/>
              </w:rPr>
            </w:pPr>
          </w:p>
          <w:p w14:paraId="2901934B" w14:textId="0AE305CF" w:rsidR="005C6AD3" w:rsidRPr="00E65CAD" w:rsidRDefault="009512DC" w:rsidP="00E65CAD">
            <w:pPr>
              <w:spacing w:after="120" w:line="240" w:lineRule="auto"/>
              <w:rPr>
                <w:rFonts w:asciiTheme="majorHAnsi" w:eastAsia="Calibri" w:hAnsiTheme="majorHAnsi"/>
                <w:spacing w:val="-1"/>
              </w:rPr>
            </w:pPr>
            <w:r>
              <w:rPr>
                <w:rFonts w:asciiTheme="majorHAnsi" w:eastAsia="Calibri" w:hAnsiTheme="majorHAnsi"/>
                <w:spacing w:val="-1"/>
              </w:rPr>
              <w:t xml:space="preserve">Work stream 1.2: </w:t>
            </w:r>
            <w:r w:rsidR="00535A16" w:rsidRPr="00535A16">
              <w:rPr>
                <w:rFonts w:asciiTheme="majorHAnsi" w:eastAsia="Calibri" w:hAnsiTheme="majorHAnsi"/>
                <w:spacing w:val="-1"/>
              </w:rPr>
              <w:t>Continue to collaborate with standard-setting bodies (SSB), including the International Monetary Fund (IMF), Basel Committee on Banking Supervision (BCBS), Financial Stability Board (FSB), and others to learn about evaluation methodologies and promote ongoing engagement.</w:t>
            </w:r>
          </w:p>
        </w:tc>
        <w:tc>
          <w:tcPr>
            <w:tcW w:w="3510" w:type="dxa"/>
            <w:shd w:val="clear" w:color="auto" w:fill="auto"/>
          </w:tcPr>
          <w:p w14:paraId="07FC3EA0" w14:textId="77777777" w:rsidR="009512DC" w:rsidRPr="00E65CAD" w:rsidRDefault="009512DC" w:rsidP="00E65CAD">
            <w:pPr>
              <w:spacing w:after="120" w:line="240" w:lineRule="auto"/>
              <w:rPr>
                <w:rFonts w:asciiTheme="majorHAnsi" w:eastAsia="Calibri" w:hAnsiTheme="majorHAnsi"/>
                <w:spacing w:val="-1"/>
              </w:rPr>
            </w:pPr>
            <w:r w:rsidRPr="004517D2">
              <w:rPr>
                <w:rFonts w:asciiTheme="majorHAnsi" w:eastAsia="Calibri" w:hAnsiTheme="majorHAnsi"/>
                <w:spacing w:val="-1"/>
                <w:highlight w:val="green"/>
              </w:rPr>
              <w:t>Curate presentations by working group members on recently completed work and evaluation methodologies</w:t>
            </w:r>
          </w:p>
          <w:p w14:paraId="72FB35FF" w14:textId="07482FF2" w:rsidR="009512DC" w:rsidRPr="00E65CAD" w:rsidRDefault="009512DC" w:rsidP="00E65CAD">
            <w:pPr>
              <w:spacing w:after="120" w:line="240" w:lineRule="auto"/>
              <w:rPr>
                <w:rFonts w:asciiTheme="majorHAnsi" w:eastAsia="Calibri" w:hAnsiTheme="majorHAnsi"/>
                <w:spacing w:val="-1"/>
              </w:rPr>
            </w:pPr>
            <w:r w:rsidRPr="00154AB4">
              <w:rPr>
                <w:rFonts w:asciiTheme="majorHAnsi" w:eastAsia="Calibri" w:hAnsiTheme="majorHAnsi"/>
                <w:spacing w:val="-1"/>
                <w:highlight w:val="green"/>
              </w:rPr>
              <w:t>Identify working groups with common interests and meet with group coordinators to identify topics and develop joint learning opportunities</w:t>
            </w:r>
          </w:p>
          <w:p w14:paraId="2A53687B" w14:textId="54047CB4" w:rsidR="009512DC" w:rsidRDefault="009512DC" w:rsidP="00E65CAD">
            <w:pPr>
              <w:pBdr>
                <w:bottom w:val="single" w:sz="6" w:space="1" w:color="auto"/>
              </w:pBdr>
              <w:spacing w:after="120" w:line="240" w:lineRule="auto"/>
              <w:rPr>
                <w:rFonts w:asciiTheme="majorHAnsi" w:eastAsia="Calibri" w:hAnsiTheme="majorHAnsi"/>
                <w:spacing w:val="-1"/>
              </w:rPr>
            </w:pPr>
            <w:r w:rsidRPr="00154AB4">
              <w:rPr>
                <w:rFonts w:asciiTheme="majorHAnsi" w:eastAsia="Calibri" w:hAnsiTheme="majorHAnsi"/>
                <w:spacing w:val="-1"/>
                <w:highlight w:val="green"/>
              </w:rPr>
              <w:t>Coordinate and hold knowledge-sharing sessions during quarterly and annual meetings</w:t>
            </w:r>
          </w:p>
          <w:p w14:paraId="4B30E599" w14:textId="77777777" w:rsidR="00E65CAD" w:rsidRPr="00E65CAD" w:rsidRDefault="00E65CAD" w:rsidP="00E65CAD">
            <w:pPr>
              <w:pBdr>
                <w:bottom w:val="single" w:sz="6" w:space="1" w:color="auto"/>
              </w:pBdr>
              <w:spacing w:after="120" w:line="240" w:lineRule="auto"/>
              <w:rPr>
                <w:rFonts w:asciiTheme="majorHAnsi" w:eastAsia="Calibri" w:hAnsiTheme="majorHAnsi"/>
                <w:spacing w:val="-1"/>
              </w:rPr>
            </w:pPr>
          </w:p>
          <w:p w14:paraId="3AF59391" w14:textId="2FF1A216" w:rsidR="009512DC" w:rsidRPr="00E65CAD" w:rsidRDefault="009512DC" w:rsidP="00E65CAD">
            <w:pPr>
              <w:spacing w:after="120" w:line="240" w:lineRule="auto"/>
              <w:rPr>
                <w:rFonts w:asciiTheme="majorHAnsi" w:eastAsia="Calibri" w:hAnsiTheme="majorHAnsi"/>
                <w:spacing w:val="-1"/>
              </w:rPr>
            </w:pPr>
            <w:r w:rsidRPr="00154AB4">
              <w:rPr>
                <w:rFonts w:asciiTheme="majorHAnsi" w:eastAsia="Calibri" w:hAnsiTheme="majorHAnsi"/>
                <w:spacing w:val="-1"/>
                <w:highlight w:val="green"/>
              </w:rPr>
              <w:t>Meet periodically with SSBs to engage and share information through presentations on evaluation topics</w:t>
            </w:r>
          </w:p>
          <w:p w14:paraId="1DEADA7C" w14:textId="45933218" w:rsidR="00C550F2" w:rsidRPr="00E65CAD" w:rsidRDefault="009512DC" w:rsidP="00E65CAD">
            <w:pPr>
              <w:spacing w:after="120" w:line="240" w:lineRule="auto"/>
              <w:rPr>
                <w:rFonts w:asciiTheme="majorHAnsi" w:eastAsia="Calibri" w:hAnsiTheme="majorHAnsi"/>
                <w:spacing w:val="-1"/>
              </w:rPr>
            </w:pPr>
            <w:r w:rsidRPr="00474501">
              <w:rPr>
                <w:rFonts w:asciiTheme="majorHAnsi" w:eastAsia="Calibri" w:hAnsiTheme="majorHAnsi"/>
                <w:spacing w:val="-1"/>
                <w:highlight w:val="yellow"/>
              </w:rPr>
              <w:t>Develop and share contact information for representatives from SSBs</w:t>
            </w:r>
          </w:p>
        </w:tc>
        <w:tc>
          <w:tcPr>
            <w:tcW w:w="5400" w:type="dxa"/>
            <w:shd w:val="clear" w:color="auto" w:fill="FFFFFF" w:themeFill="background1"/>
          </w:tcPr>
          <w:p w14:paraId="25959E07" w14:textId="03B4FF70" w:rsidR="00F6090C" w:rsidRPr="007E3B95" w:rsidRDefault="00937EB2" w:rsidP="009512DC">
            <w:pPr>
              <w:spacing w:after="120" w:line="240" w:lineRule="auto"/>
              <w:rPr>
                <w:rFonts w:asciiTheme="majorHAnsi" w:hAnsiTheme="majorHAnsi"/>
              </w:rPr>
            </w:pPr>
            <w:r w:rsidRPr="007E3B95">
              <w:rPr>
                <w:rFonts w:asciiTheme="majorHAnsi" w:hAnsiTheme="majorHAnsi"/>
                <w:b/>
              </w:rPr>
              <w:t>Progress to date</w:t>
            </w:r>
            <w:r w:rsidR="00973337" w:rsidRPr="007E3B95">
              <w:rPr>
                <w:rFonts w:asciiTheme="majorHAnsi" w:hAnsiTheme="majorHAnsi"/>
                <w:b/>
              </w:rPr>
              <w:t>:</w:t>
            </w:r>
          </w:p>
          <w:p w14:paraId="345133C5" w14:textId="79419CB0" w:rsidR="007F77E8" w:rsidRDefault="004517D2" w:rsidP="009512DC">
            <w:pPr>
              <w:spacing w:after="120" w:line="240" w:lineRule="auto"/>
              <w:rPr>
                <w:rFonts w:asciiTheme="majorHAnsi" w:hAnsiTheme="majorHAnsi"/>
              </w:rPr>
            </w:pPr>
            <w:r>
              <w:rPr>
                <w:rFonts w:asciiTheme="majorHAnsi" w:hAnsiTheme="majorHAnsi"/>
              </w:rPr>
              <w:t>Held two virtual meetings in Jan</w:t>
            </w:r>
            <w:r w:rsidR="00154AB4">
              <w:rPr>
                <w:rFonts w:asciiTheme="majorHAnsi" w:hAnsiTheme="majorHAnsi"/>
              </w:rPr>
              <w:t>uary and June 2021 that featured internal presentations from multiple SAIs on recently completed audit work and methodologies</w:t>
            </w:r>
          </w:p>
          <w:p w14:paraId="6524F236" w14:textId="0F3745E4" w:rsidR="00154AB4" w:rsidRDefault="00154AB4" w:rsidP="009512DC">
            <w:pPr>
              <w:spacing w:after="120" w:line="240" w:lineRule="auto"/>
              <w:rPr>
                <w:rFonts w:asciiTheme="majorHAnsi" w:hAnsiTheme="majorHAnsi"/>
              </w:rPr>
            </w:pPr>
            <w:r>
              <w:rPr>
                <w:rFonts w:asciiTheme="majorHAnsi" w:hAnsiTheme="majorHAnsi"/>
              </w:rPr>
              <w:t>Coordinated with the Working Group on Environmental Audit for a previous meeting focused on climate risks to financial stability</w:t>
            </w:r>
          </w:p>
          <w:p w14:paraId="5680EEA1" w14:textId="34950336" w:rsidR="00154AB4" w:rsidRDefault="00154AB4" w:rsidP="009512DC">
            <w:pPr>
              <w:spacing w:after="120" w:line="240" w:lineRule="auto"/>
              <w:rPr>
                <w:rFonts w:asciiTheme="majorHAnsi" w:hAnsiTheme="majorHAnsi"/>
              </w:rPr>
            </w:pPr>
            <w:r>
              <w:rPr>
                <w:rFonts w:asciiTheme="majorHAnsi" w:hAnsiTheme="majorHAnsi"/>
              </w:rPr>
              <w:t xml:space="preserve">Provided SSBs with a summary of recently completed audit work </w:t>
            </w:r>
            <w:r w:rsidR="00474501">
              <w:rPr>
                <w:rFonts w:asciiTheme="majorHAnsi" w:hAnsiTheme="majorHAnsi"/>
              </w:rPr>
              <w:t xml:space="preserve">from member SAIs </w:t>
            </w:r>
            <w:r>
              <w:rPr>
                <w:rFonts w:asciiTheme="majorHAnsi" w:hAnsiTheme="majorHAnsi"/>
              </w:rPr>
              <w:t xml:space="preserve">based on </w:t>
            </w:r>
            <w:r w:rsidR="00474501">
              <w:rPr>
                <w:rFonts w:asciiTheme="majorHAnsi" w:hAnsiTheme="majorHAnsi"/>
              </w:rPr>
              <w:t>each SSB’s</w:t>
            </w:r>
            <w:r>
              <w:rPr>
                <w:rFonts w:asciiTheme="majorHAnsi" w:hAnsiTheme="majorHAnsi"/>
              </w:rPr>
              <w:t xml:space="preserve"> priorities </w:t>
            </w:r>
          </w:p>
          <w:p w14:paraId="53A8FE74" w14:textId="029532A2" w:rsidR="00474501" w:rsidRPr="007E3B95" w:rsidRDefault="00474501" w:rsidP="009512DC">
            <w:pPr>
              <w:spacing w:after="120" w:line="240" w:lineRule="auto"/>
              <w:rPr>
                <w:rFonts w:asciiTheme="majorHAnsi" w:hAnsiTheme="majorHAnsi"/>
              </w:rPr>
            </w:pPr>
            <w:r>
              <w:rPr>
                <w:rFonts w:asciiTheme="majorHAnsi" w:hAnsiTheme="majorHAnsi"/>
              </w:rPr>
              <w:t>Featured speakers from FSB and BCBS at recent working group meetings to discuss their ongoing work</w:t>
            </w:r>
          </w:p>
          <w:p w14:paraId="2A3BE655" w14:textId="77777777" w:rsidR="00937EB2" w:rsidRPr="007E3B95" w:rsidRDefault="00937EB2" w:rsidP="009512DC">
            <w:pPr>
              <w:spacing w:after="120" w:line="240" w:lineRule="auto"/>
              <w:rPr>
                <w:rFonts w:asciiTheme="majorHAnsi" w:hAnsiTheme="majorHAnsi"/>
                <w:b/>
              </w:rPr>
            </w:pPr>
            <w:r w:rsidRPr="007E3B95">
              <w:rPr>
                <w:rFonts w:asciiTheme="majorHAnsi" w:hAnsiTheme="majorHAnsi"/>
                <w:b/>
              </w:rPr>
              <w:t>Action items / key next steps:</w:t>
            </w:r>
          </w:p>
          <w:p w14:paraId="635C742E" w14:textId="686C812B" w:rsidR="005D17DA" w:rsidRDefault="00154AB4" w:rsidP="00154AB4">
            <w:pPr>
              <w:spacing w:after="120" w:line="240" w:lineRule="auto"/>
              <w:rPr>
                <w:rFonts w:asciiTheme="majorHAnsi" w:hAnsiTheme="majorHAnsi"/>
              </w:rPr>
            </w:pPr>
            <w:r>
              <w:rPr>
                <w:rFonts w:asciiTheme="majorHAnsi" w:hAnsiTheme="majorHAnsi"/>
              </w:rPr>
              <w:t>Continue to coordinate and hold meetings that feature presentations by working group members, including a</w:t>
            </w:r>
            <w:r w:rsidR="00F505BA">
              <w:rPr>
                <w:rFonts w:asciiTheme="majorHAnsi" w:hAnsiTheme="majorHAnsi"/>
              </w:rPr>
              <w:t>n upcoming</w:t>
            </w:r>
            <w:r>
              <w:rPr>
                <w:rFonts w:asciiTheme="majorHAnsi" w:hAnsiTheme="majorHAnsi"/>
              </w:rPr>
              <w:t xml:space="preserve"> </w:t>
            </w:r>
            <w:r w:rsidR="00F505BA">
              <w:rPr>
                <w:rFonts w:asciiTheme="majorHAnsi" w:hAnsiTheme="majorHAnsi"/>
              </w:rPr>
              <w:t xml:space="preserve">virtual </w:t>
            </w:r>
            <w:r>
              <w:rPr>
                <w:rFonts w:asciiTheme="majorHAnsi" w:hAnsiTheme="majorHAnsi"/>
              </w:rPr>
              <w:t>meeting in November 2021</w:t>
            </w:r>
          </w:p>
          <w:p w14:paraId="1694061D" w14:textId="4FAF311A" w:rsidR="00154AB4" w:rsidRDefault="00154AB4" w:rsidP="00154AB4">
            <w:pPr>
              <w:spacing w:after="120" w:line="240" w:lineRule="auto"/>
              <w:rPr>
                <w:rFonts w:asciiTheme="majorHAnsi" w:hAnsiTheme="majorHAnsi"/>
              </w:rPr>
            </w:pPr>
            <w:r>
              <w:rPr>
                <w:rFonts w:asciiTheme="majorHAnsi" w:hAnsiTheme="majorHAnsi"/>
              </w:rPr>
              <w:t xml:space="preserve">Coordinate discussions with other working groups </w:t>
            </w:r>
            <w:r w:rsidR="00B26149">
              <w:rPr>
                <w:rFonts w:asciiTheme="majorHAnsi" w:hAnsiTheme="majorHAnsi"/>
              </w:rPr>
              <w:t>for the purpose of facilitating</w:t>
            </w:r>
            <w:r>
              <w:rPr>
                <w:rFonts w:asciiTheme="majorHAnsi" w:hAnsiTheme="majorHAnsi"/>
              </w:rPr>
              <w:t xml:space="preserve"> knowledge-sharing session on topics of mutual interest (e.g., big data)</w:t>
            </w:r>
          </w:p>
          <w:p w14:paraId="3157AD5E" w14:textId="6461E32E" w:rsidR="00474501" w:rsidRDefault="00474501" w:rsidP="00154AB4">
            <w:pPr>
              <w:spacing w:after="120" w:line="240" w:lineRule="auto"/>
              <w:rPr>
                <w:rFonts w:asciiTheme="majorHAnsi" w:hAnsiTheme="majorHAnsi"/>
              </w:rPr>
            </w:pPr>
            <w:r>
              <w:rPr>
                <w:rFonts w:asciiTheme="majorHAnsi" w:hAnsiTheme="majorHAnsi"/>
              </w:rPr>
              <w:t xml:space="preserve">Invite </w:t>
            </w:r>
            <w:r w:rsidR="00CA506B">
              <w:rPr>
                <w:rFonts w:asciiTheme="majorHAnsi" w:hAnsiTheme="majorHAnsi"/>
              </w:rPr>
              <w:t xml:space="preserve">SSB </w:t>
            </w:r>
            <w:r>
              <w:rPr>
                <w:rFonts w:asciiTheme="majorHAnsi" w:hAnsiTheme="majorHAnsi"/>
              </w:rPr>
              <w:t>representatives to attend upcoming working group meetings to present, as necessary, or attend as observers</w:t>
            </w:r>
          </w:p>
          <w:p w14:paraId="2E4E6061" w14:textId="7CC40E7E" w:rsidR="007418E2" w:rsidRPr="007E3B95" w:rsidRDefault="00474501" w:rsidP="00154AB4">
            <w:pPr>
              <w:spacing w:after="120" w:line="240" w:lineRule="auto"/>
              <w:rPr>
                <w:rFonts w:asciiTheme="majorHAnsi" w:hAnsiTheme="majorHAnsi"/>
              </w:rPr>
            </w:pPr>
            <w:r>
              <w:rPr>
                <w:rFonts w:asciiTheme="majorHAnsi" w:hAnsiTheme="majorHAnsi"/>
              </w:rPr>
              <w:t>Continue to work with SAI India to develop</w:t>
            </w:r>
            <w:r w:rsidR="00A313EC">
              <w:rPr>
                <w:rFonts w:asciiTheme="majorHAnsi" w:hAnsiTheme="majorHAnsi"/>
              </w:rPr>
              <w:t xml:space="preserve"> the</w:t>
            </w:r>
            <w:r>
              <w:rPr>
                <w:rFonts w:asciiTheme="majorHAnsi" w:hAnsiTheme="majorHAnsi"/>
              </w:rPr>
              <w:t xml:space="preserve"> internal working group website, including a section featuring key SSB contacts</w:t>
            </w:r>
          </w:p>
        </w:tc>
      </w:tr>
      <w:tr w:rsidR="00937EB2" w:rsidRPr="007E3B95" w14:paraId="1297D001" w14:textId="77777777" w:rsidTr="00474501">
        <w:trPr>
          <w:trHeight w:val="3936"/>
        </w:trPr>
        <w:tc>
          <w:tcPr>
            <w:tcW w:w="2246" w:type="dxa"/>
          </w:tcPr>
          <w:p w14:paraId="5DE75EE2" w14:textId="0E1EEB35" w:rsidR="00937EB2" w:rsidRPr="007E3B95" w:rsidRDefault="0052327A" w:rsidP="009512DC">
            <w:pPr>
              <w:spacing w:after="120" w:line="240" w:lineRule="auto"/>
              <w:rPr>
                <w:rFonts w:asciiTheme="majorHAnsi" w:hAnsiTheme="majorHAnsi"/>
              </w:rPr>
            </w:pPr>
            <w:r>
              <w:rPr>
                <w:rFonts w:asciiTheme="majorHAnsi" w:hAnsiTheme="majorHAnsi" w:cs="Arial"/>
              </w:rPr>
              <w:t xml:space="preserve">Goal 2: </w:t>
            </w:r>
            <w:r w:rsidR="005E4776" w:rsidRPr="005E4776">
              <w:rPr>
                <w:rFonts w:asciiTheme="majorHAnsi" w:hAnsiTheme="majorHAnsi" w:cs="Arial"/>
              </w:rPr>
              <w:t>Establish mechanisms for sharing information on progress of financial modernization and regulatory reforms between SAIs and international organizations</w:t>
            </w:r>
          </w:p>
        </w:tc>
        <w:tc>
          <w:tcPr>
            <w:tcW w:w="3145" w:type="dxa"/>
            <w:shd w:val="clear" w:color="auto" w:fill="auto"/>
          </w:tcPr>
          <w:p w14:paraId="71ADAAC2" w14:textId="621C5B89" w:rsidR="00937EB2" w:rsidRDefault="00E65CAD" w:rsidP="009512DC">
            <w:pPr>
              <w:autoSpaceDE w:val="0"/>
              <w:autoSpaceDN w:val="0"/>
              <w:adjustRightInd w:val="0"/>
              <w:spacing w:after="120" w:line="240" w:lineRule="auto"/>
              <w:rPr>
                <w:rFonts w:asciiTheme="majorHAnsi" w:hAnsiTheme="majorHAnsi"/>
              </w:rPr>
            </w:pPr>
            <w:r>
              <w:rPr>
                <w:rFonts w:asciiTheme="majorHAnsi" w:hAnsiTheme="majorHAnsi"/>
              </w:rPr>
              <w:t xml:space="preserve">Work stream 2.1: </w:t>
            </w:r>
            <w:r w:rsidR="00535A16" w:rsidRPr="00535A16">
              <w:rPr>
                <w:rFonts w:asciiTheme="majorHAnsi" w:hAnsiTheme="majorHAnsi"/>
              </w:rPr>
              <w:t>Continue to facilitate engagement between SSBs and working group members on topics related to financial modernization and regulatory reform</w:t>
            </w:r>
          </w:p>
          <w:p w14:paraId="048F7159" w14:textId="77777777" w:rsidR="00E65CAD" w:rsidRDefault="00E65CAD" w:rsidP="009512DC">
            <w:pPr>
              <w:autoSpaceDE w:val="0"/>
              <w:autoSpaceDN w:val="0"/>
              <w:adjustRightInd w:val="0"/>
              <w:spacing w:after="120" w:line="240" w:lineRule="auto"/>
              <w:rPr>
                <w:rFonts w:asciiTheme="majorHAnsi" w:hAnsiTheme="majorHAnsi"/>
              </w:rPr>
            </w:pPr>
          </w:p>
          <w:p w14:paraId="38BABC6C" w14:textId="311339DC" w:rsidR="00E65CAD" w:rsidRDefault="00E65CAD" w:rsidP="009512DC">
            <w:pPr>
              <w:autoSpaceDE w:val="0"/>
              <w:autoSpaceDN w:val="0"/>
              <w:adjustRightInd w:val="0"/>
              <w:spacing w:after="120" w:line="240" w:lineRule="auto"/>
              <w:rPr>
                <w:rFonts w:asciiTheme="majorHAnsi" w:hAnsiTheme="majorHAnsi"/>
              </w:rPr>
            </w:pPr>
          </w:p>
          <w:p w14:paraId="499F820A" w14:textId="76A4D3CE" w:rsidR="00E65CAD" w:rsidRDefault="00E65CAD" w:rsidP="009512DC">
            <w:pPr>
              <w:autoSpaceDE w:val="0"/>
              <w:autoSpaceDN w:val="0"/>
              <w:adjustRightInd w:val="0"/>
              <w:spacing w:after="120" w:line="240" w:lineRule="auto"/>
              <w:rPr>
                <w:rFonts w:asciiTheme="majorHAnsi" w:hAnsiTheme="majorHAnsi"/>
              </w:rPr>
            </w:pPr>
          </w:p>
          <w:p w14:paraId="2C5E81EB" w14:textId="77777777" w:rsidR="00E65CAD" w:rsidRDefault="00E65CAD" w:rsidP="009512DC">
            <w:pPr>
              <w:autoSpaceDE w:val="0"/>
              <w:autoSpaceDN w:val="0"/>
              <w:adjustRightInd w:val="0"/>
              <w:spacing w:after="120" w:line="240" w:lineRule="auto"/>
              <w:rPr>
                <w:rFonts w:asciiTheme="majorHAnsi" w:hAnsiTheme="majorHAnsi"/>
              </w:rPr>
            </w:pPr>
          </w:p>
          <w:p w14:paraId="24597EF1" w14:textId="1906D75B" w:rsidR="00E65CAD" w:rsidRDefault="00E65CAD" w:rsidP="009512DC">
            <w:pPr>
              <w:pBdr>
                <w:bottom w:val="single" w:sz="6" w:space="1" w:color="auto"/>
              </w:pBdr>
              <w:autoSpaceDE w:val="0"/>
              <w:autoSpaceDN w:val="0"/>
              <w:adjustRightInd w:val="0"/>
              <w:spacing w:after="120" w:line="240" w:lineRule="auto"/>
              <w:rPr>
                <w:rFonts w:asciiTheme="majorHAnsi" w:hAnsiTheme="majorHAnsi"/>
              </w:rPr>
            </w:pPr>
          </w:p>
          <w:p w14:paraId="3680762E" w14:textId="39FC9545" w:rsidR="00CA506B" w:rsidRDefault="00CA506B" w:rsidP="009512DC">
            <w:pPr>
              <w:pBdr>
                <w:bottom w:val="single" w:sz="6" w:space="1" w:color="auto"/>
              </w:pBdr>
              <w:autoSpaceDE w:val="0"/>
              <w:autoSpaceDN w:val="0"/>
              <w:adjustRightInd w:val="0"/>
              <w:spacing w:after="120" w:line="240" w:lineRule="auto"/>
              <w:rPr>
                <w:rFonts w:asciiTheme="majorHAnsi" w:hAnsiTheme="majorHAnsi"/>
              </w:rPr>
            </w:pPr>
          </w:p>
          <w:p w14:paraId="29F73A14" w14:textId="77777777" w:rsidR="00CA506B" w:rsidRDefault="00CA506B" w:rsidP="009512DC">
            <w:pPr>
              <w:pBdr>
                <w:bottom w:val="single" w:sz="6" w:space="1" w:color="auto"/>
              </w:pBdr>
              <w:autoSpaceDE w:val="0"/>
              <w:autoSpaceDN w:val="0"/>
              <w:adjustRightInd w:val="0"/>
              <w:spacing w:after="120" w:line="240" w:lineRule="auto"/>
              <w:rPr>
                <w:rFonts w:asciiTheme="majorHAnsi" w:hAnsiTheme="majorHAnsi"/>
              </w:rPr>
            </w:pPr>
          </w:p>
          <w:p w14:paraId="5DAF09F8" w14:textId="78EBC2D3" w:rsidR="00074C99" w:rsidRPr="00E65CAD" w:rsidRDefault="00E65CAD" w:rsidP="00E65CAD">
            <w:pPr>
              <w:autoSpaceDE w:val="0"/>
              <w:autoSpaceDN w:val="0"/>
              <w:adjustRightInd w:val="0"/>
              <w:spacing w:after="120" w:line="240" w:lineRule="auto"/>
              <w:rPr>
                <w:rFonts w:asciiTheme="majorHAnsi" w:hAnsiTheme="majorHAnsi"/>
              </w:rPr>
            </w:pPr>
            <w:r>
              <w:rPr>
                <w:rFonts w:asciiTheme="majorHAnsi" w:hAnsiTheme="majorHAnsi"/>
              </w:rPr>
              <w:t xml:space="preserve">Work stream 2.2: </w:t>
            </w:r>
            <w:r w:rsidR="00535A16" w:rsidRPr="00535A16">
              <w:rPr>
                <w:rFonts w:asciiTheme="majorHAnsi" w:hAnsiTheme="majorHAnsi"/>
              </w:rPr>
              <w:t>Enhance online information sharing among members on financial modernization and regulatory reform</w:t>
            </w:r>
          </w:p>
        </w:tc>
        <w:tc>
          <w:tcPr>
            <w:tcW w:w="3510" w:type="dxa"/>
            <w:shd w:val="clear" w:color="auto" w:fill="auto"/>
          </w:tcPr>
          <w:p w14:paraId="4E89583D" w14:textId="77777777" w:rsidR="00E65CAD" w:rsidRPr="00E65CAD" w:rsidRDefault="00E65CAD" w:rsidP="00E65CAD">
            <w:pPr>
              <w:autoSpaceDE w:val="0"/>
              <w:autoSpaceDN w:val="0"/>
              <w:adjustRightInd w:val="0"/>
              <w:spacing w:after="120" w:line="240" w:lineRule="auto"/>
              <w:rPr>
                <w:rFonts w:asciiTheme="majorHAnsi" w:hAnsiTheme="majorHAnsi"/>
              </w:rPr>
            </w:pPr>
            <w:r w:rsidRPr="00CA506B">
              <w:rPr>
                <w:rFonts w:asciiTheme="majorHAnsi" w:hAnsiTheme="majorHAnsi"/>
                <w:highlight w:val="green"/>
              </w:rPr>
              <w:t>Coordinate presentations and group discussions between SSBs and WGFMRR members during annual and quarterly meetings, especially on areas of focus</w:t>
            </w:r>
          </w:p>
          <w:p w14:paraId="060AFE78" w14:textId="1B873B93" w:rsidR="00E65CAD" w:rsidRPr="00E65CAD" w:rsidRDefault="00E65CAD" w:rsidP="00E65CAD">
            <w:pPr>
              <w:autoSpaceDE w:val="0"/>
              <w:autoSpaceDN w:val="0"/>
              <w:adjustRightInd w:val="0"/>
              <w:spacing w:after="120" w:line="240" w:lineRule="auto"/>
              <w:rPr>
                <w:rFonts w:asciiTheme="majorHAnsi" w:hAnsiTheme="majorHAnsi"/>
              </w:rPr>
            </w:pPr>
            <w:r w:rsidRPr="00CA506B">
              <w:rPr>
                <w:rFonts w:asciiTheme="majorHAnsi" w:hAnsiTheme="majorHAnsi"/>
                <w:highlight w:val="green"/>
              </w:rPr>
              <w:t>Encourage SAIs to outreach to IMF and offer briefings on recent SAI findings, especially around initiation of Financial Sector Assessment Program (FSAP) reporting</w:t>
            </w:r>
          </w:p>
          <w:p w14:paraId="6ED1010E" w14:textId="7E51CED6" w:rsidR="00E65CAD" w:rsidRDefault="00E65CAD" w:rsidP="00E65CAD">
            <w:pPr>
              <w:pBdr>
                <w:bottom w:val="single" w:sz="6" w:space="1" w:color="auto"/>
              </w:pBdr>
              <w:autoSpaceDE w:val="0"/>
              <w:autoSpaceDN w:val="0"/>
              <w:adjustRightInd w:val="0"/>
              <w:spacing w:after="120" w:line="240" w:lineRule="auto"/>
              <w:rPr>
                <w:rFonts w:asciiTheme="majorHAnsi" w:hAnsiTheme="majorHAnsi"/>
              </w:rPr>
            </w:pPr>
            <w:r w:rsidRPr="00CA506B">
              <w:rPr>
                <w:rFonts w:asciiTheme="majorHAnsi" w:hAnsiTheme="majorHAnsi"/>
                <w:highlight w:val="cyan"/>
              </w:rPr>
              <w:t>Meet with IMF to discuss FSAP criteria and options for including SAI audit authority as an evaluation criterion</w:t>
            </w:r>
          </w:p>
          <w:p w14:paraId="059D3BF3" w14:textId="306044B0" w:rsidR="00E65CAD" w:rsidRPr="00E65CAD" w:rsidRDefault="00E65CAD" w:rsidP="00E65CAD">
            <w:pPr>
              <w:pBdr>
                <w:bottom w:val="single" w:sz="6" w:space="1" w:color="auto"/>
              </w:pBdr>
              <w:autoSpaceDE w:val="0"/>
              <w:autoSpaceDN w:val="0"/>
              <w:adjustRightInd w:val="0"/>
              <w:spacing w:after="120" w:line="240" w:lineRule="auto"/>
              <w:rPr>
                <w:rFonts w:asciiTheme="majorHAnsi" w:hAnsiTheme="majorHAnsi"/>
              </w:rPr>
            </w:pPr>
          </w:p>
          <w:p w14:paraId="1E3B870B" w14:textId="4DA6A5A4" w:rsidR="00E65CAD" w:rsidRPr="00CA506B" w:rsidRDefault="00E65CAD" w:rsidP="00E65CAD">
            <w:pPr>
              <w:autoSpaceDE w:val="0"/>
              <w:autoSpaceDN w:val="0"/>
              <w:adjustRightInd w:val="0"/>
              <w:spacing w:after="120" w:line="240" w:lineRule="auto"/>
              <w:rPr>
                <w:rFonts w:asciiTheme="majorHAnsi" w:hAnsiTheme="majorHAnsi"/>
                <w:highlight w:val="yellow"/>
              </w:rPr>
            </w:pPr>
            <w:r w:rsidRPr="00CA506B">
              <w:rPr>
                <w:rFonts w:asciiTheme="majorHAnsi" w:hAnsiTheme="majorHAnsi"/>
                <w:highlight w:val="yellow"/>
              </w:rPr>
              <w:t>Continue to develop the WGFMRR internal website to support report sharing and discussion forums</w:t>
            </w:r>
          </w:p>
          <w:p w14:paraId="638CDECB" w14:textId="6CB8734E" w:rsidR="00E65CAD" w:rsidRPr="007E3B95" w:rsidRDefault="00E65CAD" w:rsidP="00E65CAD">
            <w:pPr>
              <w:spacing w:after="120" w:line="240" w:lineRule="auto"/>
              <w:rPr>
                <w:rFonts w:asciiTheme="majorHAnsi" w:hAnsiTheme="majorHAnsi"/>
              </w:rPr>
            </w:pPr>
            <w:r w:rsidRPr="00CA506B">
              <w:rPr>
                <w:rFonts w:asciiTheme="majorHAnsi" w:hAnsiTheme="majorHAnsi"/>
                <w:highlight w:val="yellow"/>
              </w:rPr>
              <w:t>Periodically share reports and initiate discussion through the website on topics of interest to member SAIs</w:t>
            </w:r>
          </w:p>
        </w:tc>
        <w:tc>
          <w:tcPr>
            <w:tcW w:w="5400" w:type="dxa"/>
            <w:shd w:val="clear" w:color="auto" w:fill="FFFFFF" w:themeFill="background1"/>
          </w:tcPr>
          <w:p w14:paraId="2E4C0057" w14:textId="5CB379A5" w:rsidR="0063231B" w:rsidRDefault="0063231B" w:rsidP="009512DC">
            <w:pPr>
              <w:spacing w:after="120" w:line="240" w:lineRule="auto"/>
              <w:rPr>
                <w:rFonts w:asciiTheme="majorHAnsi" w:hAnsiTheme="majorHAnsi"/>
                <w:b/>
              </w:rPr>
            </w:pPr>
            <w:r w:rsidRPr="007E3B95">
              <w:rPr>
                <w:rFonts w:asciiTheme="majorHAnsi" w:hAnsiTheme="majorHAnsi"/>
                <w:b/>
              </w:rPr>
              <w:t>Progress to date</w:t>
            </w:r>
            <w:r w:rsidR="003179D2" w:rsidRPr="007E3B95">
              <w:rPr>
                <w:rFonts w:asciiTheme="majorHAnsi" w:hAnsiTheme="majorHAnsi"/>
                <w:b/>
              </w:rPr>
              <w:t>:</w:t>
            </w:r>
          </w:p>
          <w:p w14:paraId="07555659" w14:textId="75FBCA7D" w:rsidR="00A6743B" w:rsidRDefault="00A6743B" w:rsidP="009512DC">
            <w:pPr>
              <w:spacing w:after="120" w:line="240" w:lineRule="auto"/>
              <w:rPr>
                <w:rFonts w:asciiTheme="majorHAnsi" w:hAnsiTheme="majorHAnsi"/>
              </w:rPr>
            </w:pPr>
            <w:r>
              <w:rPr>
                <w:rFonts w:asciiTheme="majorHAnsi" w:hAnsiTheme="majorHAnsi"/>
              </w:rPr>
              <w:t xml:space="preserve">Employed video conferencing technology to virtually </w:t>
            </w:r>
            <w:r w:rsidR="00F309CF">
              <w:rPr>
                <w:rFonts w:asciiTheme="majorHAnsi" w:hAnsiTheme="majorHAnsi"/>
              </w:rPr>
              <w:t xml:space="preserve">connect members, representatives from SSBs, and other external attendees </w:t>
            </w:r>
            <w:r>
              <w:rPr>
                <w:rFonts w:asciiTheme="majorHAnsi" w:hAnsiTheme="majorHAnsi"/>
              </w:rPr>
              <w:t xml:space="preserve">for the first time in the </w:t>
            </w:r>
            <w:r w:rsidR="00F309CF">
              <w:rPr>
                <w:rFonts w:asciiTheme="majorHAnsi" w:hAnsiTheme="majorHAnsi"/>
              </w:rPr>
              <w:t xml:space="preserve">working group’s </w:t>
            </w:r>
            <w:r>
              <w:rPr>
                <w:rFonts w:asciiTheme="majorHAnsi" w:hAnsiTheme="majorHAnsi"/>
              </w:rPr>
              <w:t xml:space="preserve">history </w:t>
            </w:r>
          </w:p>
          <w:p w14:paraId="6C4E97C4" w14:textId="7C5FEEB3" w:rsidR="00E65CAD" w:rsidRDefault="00CA506B" w:rsidP="009512DC">
            <w:pPr>
              <w:spacing w:after="120" w:line="240" w:lineRule="auto"/>
              <w:rPr>
                <w:rFonts w:asciiTheme="majorHAnsi" w:hAnsiTheme="majorHAnsi"/>
              </w:rPr>
            </w:pPr>
            <w:r>
              <w:rPr>
                <w:rFonts w:asciiTheme="majorHAnsi" w:hAnsiTheme="majorHAnsi"/>
              </w:rPr>
              <w:t>Featured speakers from FSB and BCBS at recent working group meetings to discuss their ongoing work</w:t>
            </w:r>
          </w:p>
          <w:p w14:paraId="1DB3FF15" w14:textId="54656065" w:rsidR="00CA506B" w:rsidRDefault="00CA506B" w:rsidP="009512DC">
            <w:pPr>
              <w:spacing w:after="120" w:line="240" w:lineRule="auto"/>
              <w:rPr>
                <w:rFonts w:asciiTheme="majorHAnsi" w:hAnsiTheme="majorHAnsi"/>
              </w:rPr>
            </w:pPr>
            <w:r>
              <w:rPr>
                <w:rFonts w:asciiTheme="majorHAnsi" w:hAnsiTheme="majorHAnsi"/>
              </w:rPr>
              <w:t>Provided SSBs with a summary of recently completed audit work from member SAIs based on each SSB’s priorities</w:t>
            </w:r>
          </w:p>
          <w:p w14:paraId="502FD4AA" w14:textId="08148B99" w:rsidR="00CA506B" w:rsidRPr="007E3B95" w:rsidRDefault="00CA506B" w:rsidP="009512DC">
            <w:pPr>
              <w:spacing w:after="120" w:line="240" w:lineRule="auto"/>
              <w:rPr>
                <w:rFonts w:asciiTheme="majorHAnsi" w:hAnsiTheme="majorHAnsi"/>
                <w:b/>
              </w:rPr>
            </w:pPr>
            <w:r>
              <w:rPr>
                <w:rFonts w:asciiTheme="majorHAnsi" w:hAnsiTheme="majorHAnsi"/>
              </w:rPr>
              <w:t xml:space="preserve">Shared experiences with SAIs </w:t>
            </w:r>
            <w:r w:rsidR="005F2A08">
              <w:rPr>
                <w:rFonts w:asciiTheme="majorHAnsi" w:hAnsiTheme="majorHAnsi"/>
              </w:rPr>
              <w:t xml:space="preserve">at </w:t>
            </w:r>
            <w:r w:rsidR="00F505BA">
              <w:rPr>
                <w:rFonts w:asciiTheme="majorHAnsi" w:hAnsiTheme="majorHAnsi"/>
              </w:rPr>
              <w:t xml:space="preserve">a </w:t>
            </w:r>
            <w:r>
              <w:rPr>
                <w:rFonts w:asciiTheme="majorHAnsi" w:hAnsiTheme="majorHAnsi"/>
              </w:rPr>
              <w:t>past meeting about briefing IMF on recently completed audit work</w:t>
            </w:r>
          </w:p>
          <w:p w14:paraId="76818DCC" w14:textId="77777777" w:rsidR="00937EB2" w:rsidRPr="007E3B95" w:rsidRDefault="0063231B" w:rsidP="009512DC">
            <w:pPr>
              <w:spacing w:after="120" w:line="240" w:lineRule="auto"/>
              <w:rPr>
                <w:rFonts w:asciiTheme="majorHAnsi" w:hAnsiTheme="majorHAnsi"/>
                <w:b/>
              </w:rPr>
            </w:pPr>
            <w:r w:rsidRPr="007E3B95">
              <w:rPr>
                <w:rFonts w:asciiTheme="majorHAnsi" w:hAnsiTheme="majorHAnsi"/>
                <w:b/>
              </w:rPr>
              <w:t>Action items / key next steps:</w:t>
            </w:r>
          </w:p>
          <w:p w14:paraId="3D37B13E" w14:textId="3C8D7BD9" w:rsidR="00CA506B" w:rsidRDefault="00CA506B" w:rsidP="00E65CAD">
            <w:pPr>
              <w:spacing w:after="120" w:line="240" w:lineRule="auto"/>
              <w:rPr>
                <w:rFonts w:asciiTheme="majorHAnsi" w:hAnsiTheme="majorHAnsi"/>
              </w:rPr>
            </w:pPr>
            <w:r>
              <w:rPr>
                <w:rFonts w:asciiTheme="majorHAnsi" w:hAnsiTheme="majorHAnsi"/>
              </w:rPr>
              <w:t>Invite SSB representatives to attend upcoming working group meetings to present, as necessary, or attend as observers</w:t>
            </w:r>
          </w:p>
          <w:p w14:paraId="6329BC8D" w14:textId="3C95248B" w:rsidR="00E65CAD" w:rsidRPr="007E3B95" w:rsidRDefault="00CA506B" w:rsidP="00E65CAD">
            <w:pPr>
              <w:spacing w:after="120" w:line="240" w:lineRule="auto"/>
              <w:rPr>
                <w:rFonts w:asciiTheme="majorHAnsi" w:hAnsiTheme="majorHAnsi"/>
              </w:rPr>
            </w:pPr>
            <w:r>
              <w:rPr>
                <w:rFonts w:asciiTheme="majorHAnsi" w:hAnsiTheme="majorHAnsi"/>
              </w:rPr>
              <w:t>Discuss with working group members approaches for beginning to engage IMF regarding FSAP criteria</w:t>
            </w:r>
          </w:p>
          <w:p w14:paraId="778FF705" w14:textId="776AF7E3" w:rsidR="003F38DE" w:rsidRDefault="00CA506B" w:rsidP="00CA506B">
            <w:pPr>
              <w:spacing w:after="120" w:line="240" w:lineRule="auto"/>
              <w:rPr>
                <w:rFonts w:asciiTheme="majorHAnsi" w:hAnsiTheme="majorHAnsi"/>
              </w:rPr>
            </w:pPr>
            <w:r>
              <w:rPr>
                <w:rFonts w:asciiTheme="majorHAnsi" w:hAnsiTheme="majorHAnsi"/>
              </w:rPr>
              <w:t>Continue to work with SAI India to develop</w:t>
            </w:r>
            <w:r w:rsidR="00A313EC">
              <w:rPr>
                <w:rFonts w:asciiTheme="majorHAnsi" w:hAnsiTheme="majorHAnsi"/>
              </w:rPr>
              <w:t xml:space="preserve"> the</w:t>
            </w:r>
            <w:r>
              <w:rPr>
                <w:rFonts w:asciiTheme="majorHAnsi" w:hAnsiTheme="majorHAnsi"/>
              </w:rPr>
              <w:t xml:space="preserve"> internal working group website,</w:t>
            </w:r>
            <w:r w:rsidR="00861AFA">
              <w:rPr>
                <w:rFonts w:asciiTheme="majorHAnsi" w:hAnsiTheme="majorHAnsi"/>
              </w:rPr>
              <w:t xml:space="preserve"> including </w:t>
            </w:r>
            <w:r>
              <w:rPr>
                <w:rFonts w:asciiTheme="majorHAnsi" w:hAnsiTheme="majorHAnsi"/>
              </w:rPr>
              <w:t>section featuring discussion forums</w:t>
            </w:r>
            <w:r w:rsidR="00861AFA">
              <w:rPr>
                <w:rFonts w:asciiTheme="majorHAnsi" w:hAnsiTheme="majorHAnsi"/>
              </w:rPr>
              <w:t xml:space="preserve"> and report-sharing functionality</w:t>
            </w:r>
          </w:p>
          <w:p w14:paraId="714581F7" w14:textId="1777C906" w:rsidR="00861AFA" w:rsidRPr="007E3B95" w:rsidRDefault="00861AFA" w:rsidP="00861AFA">
            <w:pPr>
              <w:spacing w:after="120" w:line="240" w:lineRule="auto"/>
              <w:rPr>
                <w:rFonts w:asciiTheme="majorHAnsi" w:hAnsiTheme="majorHAnsi"/>
              </w:rPr>
            </w:pPr>
            <w:r>
              <w:rPr>
                <w:rFonts w:asciiTheme="majorHAnsi" w:hAnsiTheme="majorHAnsi"/>
              </w:rPr>
              <w:t>Begin using internal website more frequently to share recent reports, initiate discussions, and share key information, as necessary</w:t>
            </w:r>
          </w:p>
        </w:tc>
      </w:tr>
      <w:tr w:rsidR="00937EB2" w:rsidRPr="00A704B8" w14:paraId="48B6BB2F" w14:textId="77777777" w:rsidTr="00474501">
        <w:trPr>
          <w:trHeight w:val="4680"/>
        </w:trPr>
        <w:tc>
          <w:tcPr>
            <w:tcW w:w="2246" w:type="dxa"/>
          </w:tcPr>
          <w:p w14:paraId="65135FCC" w14:textId="3403DAE0" w:rsidR="00937EB2" w:rsidRPr="007E3B95" w:rsidRDefault="0052327A" w:rsidP="009512DC">
            <w:pPr>
              <w:spacing w:after="120" w:line="240" w:lineRule="auto"/>
              <w:rPr>
                <w:rFonts w:asciiTheme="majorHAnsi" w:hAnsiTheme="majorHAnsi"/>
              </w:rPr>
            </w:pPr>
            <w:r>
              <w:rPr>
                <w:rFonts w:asciiTheme="majorHAnsi" w:hAnsiTheme="majorHAnsi" w:cs="Arial"/>
              </w:rPr>
              <w:t xml:space="preserve">Goal 3: </w:t>
            </w:r>
            <w:r w:rsidR="005E4776" w:rsidRPr="005E4776">
              <w:rPr>
                <w:rFonts w:asciiTheme="majorHAnsi" w:hAnsiTheme="majorHAnsi" w:cs="Arial"/>
              </w:rPr>
              <w:t>Develop a system to track and synthesize information on the nature, scope, and status of financial modernization and regulatory reforms at national and international levels and identify gaps and areas where additional study by the Working Group is needed</w:t>
            </w:r>
          </w:p>
        </w:tc>
        <w:tc>
          <w:tcPr>
            <w:tcW w:w="3145" w:type="dxa"/>
            <w:shd w:val="clear" w:color="auto" w:fill="auto"/>
          </w:tcPr>
          <w:p w14:paraId="108149A2" w14:textId="0237FD06" w:rsidR="00074C99" w:rsidRPr="00E65CAD" w:rsidRDefault="00E65CAD" w:rsidP="00E65CAD">
            <w:pPr>
              <w:autoSpaceDE w:val="0"/>
              <w:autoSpaceDN w:val="0"/>
              <w:adjustRightInd w:val="0"/>
              <w:spacing w:after="120" w:line="240" w:lineRule="auto"/>
              <w:rPr>
                <w:rFonts w:asciiTheme="majorHAnsi" w:hAnsiTheme="majorHAnsi"/>
              </w:rPr>
            </w:pPr>
            <w:r>
              <w:rPr>
                <w:rFonts w:asciiTheme="majorHAnsi" w:hAnsiTheme="majorHAnsi"/>
              </w:rPr>
              <w:t xml:space="preserve">Work stream 3.1: </w:t>
            </w:r>
            <w:r w:rsidR="00535A16" w:rsidRPr="00535A16">
              <w:rPr>
                <w:rFonts w:asciiTheme="majorHAnsi" w:hAnsiTheme="majorHAnsi"/>
              </w:rPr>
              <w:t>Continue to track and synthesize information on the status of financial reforms through annual reporting</w:t>
            </w:r>
          </w:p>
        </w:tc>
        <w:tc>
          <w:tcPr>
            <w:tcW w:w="3510" w:type="dxa"/>
            <w:shd w:val="clear" w:color="auto" w:fill="auto"/>
          </w:tcPr>
          <w:p w14:paraId="3E44B565" w14:textId="77777777" w:rsidR="00E65CAD" w:rsidRPr="0052327A" w:rsidRDefault="00E65CAD" w:rsidP="00E65CAD">
            <w:pPr>
              <w:autoSpaceDE w:val="0"/>
              <w:autoSpaceDN w:val="0"/>
              <w:adjustRightInd w:val="0"/>
              <w:spacing w:after="120" w:line="240" w:lineRule="auto"/>
              <w:rPr>
                <w:rFonts w:asciiTheme="majorHAnsi" w:hAnsiTheme="majorHAnsi"/>
                <w:highlight w:val="green"/>
              </w:rPr>
            </w:pPr>
            <w:r w:rsidRPr="0052327A">
              <w:rPr>
                <w:rFonts w:asciiTheme="majorHAnsi" w:hAnsiTheme="majorHAnsi"/>
                <w:highlight w:val="green"/>
              </w:rPr>
              <w:t>Monitor the implementation and effectiveness of financial sector reforms (e.g., Basel III) and ongoing or emerging financial sector risks on national and international levels by reviewing key reports from SSBs and others</w:t>
            </w:r>
          </w:p>
          <w:p w14:paraId="6CEFBD74" w14:textId="77777777" w:rsidR="00E65CAD" w:rsidRPr="0052327A" w:rsidRDefault="00E65CAD" w:rsidP="00E65CAD">
            <w:pPr>
              <w:autoSpaceDE w:val="0"/>
              <w:autoSpaceDN w:val="0"/>
              <w:adjustRightInd w:val="0"/>
              <w:spacing w:after="120" w:line="240" w:lineRule="auto"/>
              <w:rPr>
                <w:rFonts w:asciiTheme="majorHAnsi" w:hAnsiTheme="majorHAnsi"/>
                <w:highlight w:val="green"/>
              </w:rPr>
            </w:pPr>
            <w:r w:rsidRPr="0052327A">
              <w:rPr>
                <w:rFonts w:asciiTheme="majorHAnsi" w:hAnsiTheme="majorHAnsi"/>
                <w:highlight w:val="green"/>
              </w:rPr>
              <w:t>Survey and summarize recent relevant audit findings and recommendations from member SAIs</w:t>
            </w:r>
          </w:p>
          <w:p w14:paraId="4443FC35" w14:textId="77777777" w:rsidR="00E65CAD" w:rsidRPr="0052327A" w:rsidRDefault="00E65CAD" w:rsidP="00E65CAD">
            <w:pPr>
              <w:autoSpaceDE w:val="0"/>
              <w:autoSpaceDN w:val="0"/>
              <w:adjustRightInd w:val="0"/>
              <w:spacing w:after="120" w:line="240" w:lineRule="auto"/>
              <w:rPr>
                <w:rFonts w:asciiTheme="majorHAnsi" w:hAnsiTheme="majorHAnsi"/>
                <w:highlight w:val="yellow"/>
              </w:rPr>
            </w:pPr>
            <w:r w:rsidRPr="0052327A">
              <w:rPr>
                <w:rFonts w:asciiTheme="majorHAnsi" w:hAnsiTheme="majorHAnsi"/>
                <w:highlight w:val="yellow"/>
              </w:rPr>
              <w:t>Identify potential areas for individual or collective study or knowledge sharing based on annual monitoring and review</w:t>
            </w:r>
          </w:p>
          <w:p w14:paraId="4AF27CEE" w14:textId="7F2F5AD6" w:rsidR="00937EB2" w:rsidRPr="007E3B95" w:rsidRDefault="00E65CAD" w:rsidP="00E65CAD">
            <w:pPr>
              <w:spacing w:after="120" w:line="240" w:lineRule="auto"/>
              <w:rPr>
                <w:rFonts w:asciiTheme="majorHAnsi" w:hAnsiTheme="majorHAnsi"/>
              </w:rPr>
            </w:pPr>
            <w:r w:rsidRPr="0052327A">
              <w:rPr>
                <w:rFonts w:asciiTheme="majorHAnsi" w:hAnsiTheme="majorHAnsi"/>
                <w:highlight w:val="green"/>
              </w:rPr>
              <w:t>Discuss country-level status of financial reforms and emerging risks during quarterly and annual meetings</w:t>
            </w:r>
          </w:p>
        </w:tc>
        <w:tc>
          <w:tcPr>
            <w:tcW w:w="5400" w:type="dxa"/>
            <w:shd w:val="clear" w:color="auto" w:fill="FFFFFF" w:themeFill="background1"/>
          </w:tcPr>
          <w:p w14:paraId="53AF8F53" w14:textId="77777777" w:rsidR="0063231B" w:rsidRPr="007E3B95" w:rsidRDefault="0063231B" w:rsidP="009512DC">
            <w:pPr>
              <w:spacing w:after="120" w:line="240" w:lineRule="auto"/>
              <w:rPr>
                <w:rFonts w:asciiTheme="majorHAnsi" w:hAnsiTheme="majorHAnsi"/>
                <w:b/>
              </w:rPr>
            </w:pPr>
            <w:r w:rsidRPr="007E3B95">
              <w:rPr>
                <w:rFonts w:asciiTheme="majorHAnsi" w:hAnsiTheme="majorHAnsi"/>
                <w:b/>
              </w:rPr>
              <w:t>Progress to date</w:t>
            </w:r>
            <w:r w:rsidR="003179D2" w:rsidRPr="007E3B95">
              <w:rPr>
                <w:rFonts w:asciiTheme="majorHAnsi" w:hAnsiTheme="majorHAnsi"/>
                <w:b/>
              </w:rPr>
              <w:t>:</w:t>
            </w:r>
          </w:p>
          <w:p w14:paraId="7AAF8152" w14:textId="245897CA" w:rsidR="00E65CAD" w:rsidRDefault="0052327A" w:rsidP="009512DC">
            <w:pPr>
              <w:spacing w:after="120" w:line="240" w:lineRule="auto"/>
              <w:rPr>
                <w:rFonts w:asciiTheme="majorHAnsi" w:hAnsiTheme="majorHAnsi"/>
              </w:rPr>
            </w:pPr>
            <w:r>
              <w:rPr>
                <w:rFonts w:asciiTheme="majorHAnsi" w:hAnsiTheme="majorHAnsi"/>
              </w:rPr>
              <w:t>Reviewed and synthesized findings on the effectiveness of financial reforms and emerging risks from key</w:t>
            </w:r>
            <w:r w:rsidR="00A313EC">
              <w:rPr>
                <w:rFonts w:asciiTheme="majorHAnsi" w:hAnsiTheme="majorHAnsi"/>
              </w:rPr>
              <w:t xml:space="preserve"> SSB</w:t>
            </w:r>
            <w:r>
              <w:rPr>
                <w:rFonts w:asciiTheme="majorHAnsi" w:hAnsiTheme="majorHAnsi"/>
              </w:rPr>
              <w:t xml:space="preserve"> reports</w:t>
            </w:r>
          </w:p>
          <w:p w14:paraId="3990B516" w14:textId="5FFAE9EB" w:rsidR="0052327A" w:rsidRDefault="0052327A" w:rsidP="009512DC">
            <w:pPr>
              <w:spacing w:after="120" w:line="240" w:lineRule="auto"/>
              <w:rPr>
                <w:rFonts w:asciiTheme="majorHAnsi" w:hAnsiTheme="majorHAnsi"/>
              </w:rPr>
            </w:pPr>
            <w:r>
              <w:rPr>
                <w:rFonts w:asciiTheme="majorHAnsi" w:hAnsiTheme="majorHAnsi"/>
              </w:rPr>
              <w:t>Collected and summarized findings from recent</w:t>
            </w:r>
            <w:r w:rsidR="00A313EC">
              <w:rPr>
                <w:rFonts w:asciiTheme="majorHAnsi" w:hAnsiTheme="majorHAnsi"/>
              </w:rPr>
              <w:t xml:space="preserve"> SAI</w:t>
            </w:r>
            <w:r>
              <w:rPr>
                <w:rFonts w:asciiTheme="majorHAnsi" w:hAnsiTheme="majorHAnsi"/>
              </w:rPr>
              <w:t xml:space="preserve"> audit reports </w:t>
            </w:r>
            <w:r w:rsidR="00535398">
              <w:rPr>
                <w:rFonts w:asciiTheme="majorHAnsi" w:hAnsiTheme="majorHAnsi"/>
              </w:rPr>
              <w:t>relevant</w:t>
            </w:r>
            <w:r>
              <w:rPr>
                <w:rFonts w:asciiTheme="majorHAnsi" w:hAnsiTheme="majorHAnsi"/>
              </w:rPr>
              <w:t xml:space="preserve"> to working group members</w:t>
            </w:r>
            <w:r w:rsidR="00F505BA">
              <w:rPr>
                <w:rFonts w:asciiTheme="majorHAnsi" w:hAnsiTheme="majorHAnsi"/>
              </w:rPr>
              <w:t>, including topics on financial regulatory or financial consumer protection and COVID-19 pandemic responses</w:t>
            </w:r>
          </w:p>
          <w:p w14:paraId="7418196F" w14:textId="6DCEA416" w:rsidR="0052327A" w:rsidRPr="0052327A" w:rsidRDefault="0052327A" w:rsidP="009512DC">
            <w:pPr>
              <w:spacing w:after="120" w:line="240" w:lineRule="auto"/>
              <w:rPr>
                <w:rFonts w:asciiTheme="majorHAnsi" w:hAnsiTheme="majorHAnsi"/>
              </w:rPr>
            </w:pPr>
            <w:r>
              <w:rPr>
                <w:rFonts w:asciiTheme="majorHAnsi" w:hAnsiTheme="majorHAnsi"/>
              </w:rPr>
              <w:t xml:space="preserve">Hosted external panel discussions on two </w:t>
            </w:r>
            <w:r w:rsidR="009B0D99">
              <w:rPr>
                <w:rFonts w:asciiTheme="majorHAnsi" w:hAnsiTheme="majorHAnsi"/>
              </w:rPr>
              <w:t>key</w:t>
            </w:r>
            <w:r>
              <w:rPr>
                <w:rFonts w:asciiTheme="majorHAnsi" w:hAnsiTheme="majorHAnsi"/>
              </w:rPr>
              <w:t xml:space="preserve"> risks—COVID-19 financial stability challenges and cybersecurity—during virtual meetings </w:t>
            </w:r>
          </w:p>
          <w:p w14:paraId="039D52A0" w14:textId="445B393C" w:rsidR="00937EB2" w:rsidRPr="007E3B95" w:rsidRDefault="0063231B" w:rsidP="009512DC">
            <w:pPr>
              <w:spacing w:after="120" w:line="240" w:lineRule="auto"/>
              <w:rPr>
                <w:rFonts w:asciiTheme="majorHAnsi" w:hAnsiTheme="majorHAnsi"/>
                <w:b/>
              </w:rPr>
            </w:pPr>
            <w:r w:rsidRPr="007E3B95">
              <w:rPr>
                <w:rFonts w:asciiTheme="majorHAnsi" w:hAnsiTheme="majorHAnsi"/>
                <w:b/>
              </w:rPr>
              <w:t>Action items / key next steps:</w:t>
            </w:r>
          </w:p>
          <w:p w14:paraId="7EC3D733" w14:textId="18088D76" w:rsidR="0052327A" w:rsidRDefault="0052327A" w:rsidP="009512DC">
            <w:pPr>
              <w:spacing w:after="120" w:line="240" w:lineRule="auto"/>
              <w:rPr>
                <w:rFonts w:asciiTheme="majorHAnsi" w:hAnsiTheme="majorHAnsi"/>
              </w:rPr>
            </w:pPr>
            <w:r>
              <w:rPr>
                <w:rFonts w:asciiTheme="majorHAnsi" w:hAnsiTheme="majorHAnsi"/>
              </w:rPr>
              <w:t>Publish</w:t>
            </w:r>
            <w:r w:rsidR="00A313EC">
              <w:rPr>
                <w:rFonts w:asciiTheme="majorHAnsi" w:hAnsiTheme="majorHAnsi"/>
              </w:rPr>
              <w:t xml:space="preserve"> the</w:t>
            </w:r>
            <w:r>
              <w:rPr>
                <w:rFonts w:asciiTheme="majorHAnsi" w:hAnsiTheme="majorHAnsi"/>
              </w:rPr>
              <w:t xml:space="preserve"> 2021 Governing Board Report, which summarizes the working group’s monitoring efforts, findings related to the status and effectiveness of reforms and emerging risks, and recent audit work from members</w:t>
            </w:r>
          </w:p>
          <w:p w14:paraId="366E837A" w14:textId="696DD385" w:rsidR="00C32AEC" w:rsidRPr="00A704B8" w:rsidRDefault="0052327A" w:rsidP="003576AA">
            <w:pPr>
              <w:spacing w:after="120" w:line="240" w:lineRule="auto"/>
              <w:rPr>
                <w:rFonts w:asciiTheme="majorHAnsi" w:hAnsiTheme="majorHAnsi"/>
              </w:rPr>
            </w:pPr>
            <w:r>
              <w:rPr>
                <w:rFonts w:asciiTheme="majorHAnsi" w:hAnsiTheme="majorHAnsi"/>
              </w:rPr>
              <w:t xml:space="preserve">Facilitate a discussion among members </w:t>
            </w:r>
            <w:r w:rsidR="003576AA">
              <w:rPr>
                <w:rFonts w:asciiTheme="majorHAnsi" w:hAnsiTheme="majorHAnsi"/>
              </w:rPr>
              <w:t xml:space="preserve">regarding the status of </w:t>
            </w:r>
            <w:r>
              <w:rPr>
                <w:rFonts w:asciiTheme="majorHAnsi" w:hAnsiTheme="majorHAnsi"/>
              </w:rPr>
              <w:t>ongoing efforts to develop parallel audit objectives related to nonbank financial intermediaries</w:t>
            </w:r>
          </w:p>
        </w:tc>
      </w:tr>
    </w:tbl>
    <w:p w14:paraId="2537C814" w14:textId="77777777" w:rsidR="009F715C" w:rsidRPr="00A704B8" w:rsidRDefault="009F715C" w:rsidP="007418E2">
      <w:pPr>
        <w:rPr>
          <w:rFonts w:asciiTheme="majorHAnsi" w:eastAsia="Times New Roman" w:hAnsiTheme="majorHAnsi" w:cs="Times New Roman"/>
          <w:sz w:val="20"/>
          <w:szCs w:val="20"/>
          <w:lang w:val="en-US"/>
        </w:rPr>
      </w:pPr>
    </w:p>
    <w:sectPr w:rsidR="009F715C" w:rsidRPr="00A704B8" w:rsidSect="002438F6">
      <w:footerReference w:type="default" r:id="rId8"/>
      <w:pgSz w:w="16838" w:h="11906" w:orient="landscape"/>
      <w:pgMar w:top="1021" w:right="1440" w:bottom="90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639F3" w14:textId="77777777" w:rsidR="00BB3573" w:rsidRDefault="00BB3573" w:rsidP="00130036">
      <w:pPr>
        <w:spacing w:after="0" w:line="240" w:lineRule="auto"/>
      </w:pPr>
      <w:r>
        <w:separator/>
      </w:r>
    </w:p>
  </w:endnote>
  <w:endnote w:type="continuationSeparator" w:id="0">
    <w:p w14:paraId="39473165" w14:textId="77777777" w:rsidR="00BB3573" w:rsidRDefault="00BB3573" w:rsidP="00130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4004269"/>
      <w:docPartObj>
        <w:docPartGallery w:val="Page Numbers (Bottom of Page)"/>
        <w:docPartUnique/>
      </w:docPartObj>
    </w:sdtPr>
    <w:sdtEndPr>
      <w:rPr>
        <w:noProof/>
      </w:rPr>
    </w:sdtEndPr>
    <w:sdtContent>
      <w:p w14:paraId="341F288F" w14:textId="41804834" w:rsidR="00130036" w:rsidRDefault="00130036">
        <w:pPr>
          <w:pStyle w:val="Footer"/>
          <w:jc w:val="center"/>
        </w:pPr>
        <w:r>
          <w:fldChar w:fldCharType="begin"/>
        </w:r>
        <w:r>
          <w:instrText xml:space="preserve"> PAGE   \* MERGEFORMAT </w:instrText>
        </w:r>
        <w:r>
          <w:fldChar w:fldCharType="separate"/>
        </w:r>
        <w:r w:rsidR="00AE36C3">
          <w:rPr>
            <w:noProof/>
          </w:rPr>
          <w:t>1</w:t>
        </w:r>
        <w:r>
          <w:rPr>
            <w:noProof/>
          </w:rPr>
          <w:fldChar w:fldCharType="end"/>
        </w:r>
      </w:p>
    </w:sdtContent>
  </w:sdt>
  <w:p w14:paraId="2A63D3B0" w14:textId="77777777" w:rsidR="00130036" w:rsidRDefault="001300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97B2B" w14:textId="77777777" w:rsidR="00BB3573" w:rsidRDefault="00BB3573" w:rsidP="00130036">
      <w:pPr>
        <w:spacing w:after="0" w:line="240" w:lineRule="auto"/>
      </w:pPr>
      <w:r>
        <w:separator/>
      </w:r>
    </w:p>
  </w:footnote>
  <w:footnote w:type="continuationSeparator" w:id="0">
    <w:p w14:paraId="4E039F28" w14:textId="77777777" w:rsidR="00BB3573" w:rsidRDefault="00BB3573" w:rsidP="00130036">
      <w:pPr>
        <w:spacing w:after="0" w:line="240" w:lineRule="auto"/>
      </w:pPr>
      <w:r>
        <w:continuationSeparator/>
      </w:r>
    </w:p>
  </w:footnote>
  <w:footnote w:id="1">
    <w:p w14:paraId="0B746518" w14:textId="77777777" w:rsidR="00711677" w:rsidRPr="003A55C8" w:rsidRDefault="00711677" w:rsidP="00FF5E3A">
      <w:pPr>
        <w:pStyle w:val="FootnoteText"/>
        <w:spacing w:after="60"/>
        <w:ind w:left="284" w:hanging="284"/>
        <w:rPr>
          <w:sz w:val="16"/>
          <w:szCs w:val="16"/>
        </w:rPr>
      </w:pPr>
      <w:r w:rsidRPr="003A55C8">
        <w:rPr>
          <w:rStyle w:val="FootnoteReference"/>
          <w:sz w:val="16"/>
          <w:szCs w:val="16"/>
        </w:rPr>
        <w:footnoteRef/>
      </w:r>
      <w:r w:rsidRPr="003A55C8">
        <w:rPr>
          <w:sz w:val="16"/>
          <w:szCs w:val="16"/>
        </w:rPr>
        <w:t xml:space="preserve">    In the case of single large projects / initiatives, the progress indicator could also be one of the following three progress statements: </w:t>
      </w:r>
      <w:r w:rsidRPr="003A55C8">
        <w:rPr>
          <w:sz w:val="16"/>
          <w:szCs w:val="16"/>
          <w:vertAlign w:val="superscript"/>
        </w:rPr>
        <w:t>(i)</w:t>
      </w:r>
      <w:r w:rsidRPr="003A55C8">
        <w:rPr>
          <w:sz w:val="16"/>
          <w:szCs w:val="16"/>
        </w:rPr>
        <w:t xml:space="preserve"> the project has been initiated/come into existence (has been defined, planned, and resourced),  </w:t>
      </w:r>
      <w:r w:rsidRPr="003A55C8">
        <w:rPr>
          <w:sz w:val="16"/>
          <w:szCs w:val="16"/>
          <w:vertAlign w:val="superscript"/>
        </w:rPr>
        <w:t>(ii)</w:t>
      </w:r>
      <w:r w:rsidRPr="003A55C8">
        <w:rPr>
          <w:sz w:val="16"/>
          <w:szCs w:val="16"/>
        </w:rPr>
        <w:t xml:space="preserve"> the project is being implemented (and is on track, or behind schedule, in trouble – green or amber or red</w:t>
      </w:r>
      <w:r w:rsidR="00A75398">
        <w:rPr>
          <w:sz w:val="16"/>
          <w:szCs w:val="16"/>
        </w:rPr>
        <w:t>/Purple</w:t>
      </w:r>
      <w:r w:rsidRPr="003A55C8">
        <w:rPr>
          <w:sz w:val="16"/>
          <w:szCs w:val="16"/>
        </w:rPr>
        <w:t xml:space="preserve">), and </w:t>
      </w:r>
      <w:r w:rsidRPr="003A55C8">
        <w:rPr>
          <w:sz w:val="16"/>
          <w:szCs w:val="16"/>
          <w:vertAlign w:val="superscript"/>
        </w:rPr>
        <w:t xml:space="preserve">(iii) </w:t>
      </w:r>
      <w:r w:rsidRPr="003A55C8">
        <w:rPr>
          <w:sz w:val="16"/>
          <w:szCs w:val="16"/>
        </w:rPr>
        <w:t xml:space="preserve">the project has delivered the main outcome (is either completed – black – or its outcome is functioning as intended / producing the results, e.g. a technical support function;  maintain, monitor and enhance). </w:t>
      </w:r>
      <w:r w:rsidR="00A75398">
        <w:rPr>
          <w:sz w:val="16"/>
          <w:szCs w:val="16"/>
        </w:rPr>
        <w:t>Appropriate colour may be chosen as the background of the cell.</w:t>
      </w:r>
    </w:p>
  </w:footnote>
  <w:footnote w:id="2">
    <w:p w14:paraId="0B56F7CE" w14:textId="77777777" w:rsidR="00711677" w:rsidRDefault="00711677" w:rsidP="00FF5E3A">
      <w:pPr>
        <w:pStyle w:val="FootnoteText"/>
        <w:ind w:left="284" w:hanging="284"/>
        <w:rPr>
          <w:sz w:val="16"/>
          <w:szCs w:val="16"/>
        </w:rPr>
      </w:pPr>
      <w:r w:rsidRPr="003A55C8">
        <w:rPr>
          <w:rStyle w:val="FootnoteReference"/>
          <w:sz w:val="16"/>
          <w:szCs w:val="16"/>
        </w:rPr>
        <w:footnoteRef/>
      </w:r>
      <w:r w:rsidRPr="003A55C8">
        <w:rPr>
          <w:sz w:val="16"/>
          <w:szCs w:val="16"/>
        </w:rPr>
        <w:t xml:space="preserve">    SP 2017-22, page 36, refers to the strategic objectives review to include “determining what actions and next steps are most needed to ensure continued progress towards each objective”.  </w:t>
      </w:r>
      <w:r>
        <w:rPr>
          <w:sz w:val="16"/>
          <w:szCs w:val="16"/>
        </w:rPr>
        <w:t>T</w:t>
      </w:r>
      <w:r w:rsidRPr="00711677">
        <w:rPr>
          <w:sz w:val="16"/>
          <w:szCs w:val="16"/>
        </w:rPr>
        <w:t>he progress achieved till date and the key items/next steps needed to ensure continued progress towards each objective and to manage risks may be indicated here.</w:t>
      </w:r>
    </w:p>
    <w:p w14:paraId="226D4226" w14:textId="77777777" w:rsidR="00A75398" w:rsidRPr="003A55C8" w:rsidRDefault="00A75398" w:rsidP="00FF5E3A">
      <w:pPr>
        <w:pStyle w:val="FootnoteText"/>
        <w:ind w:left="284" w:hanging="284"/>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97BEC"/>
    <w:multiLevelType w:val="hybridMultilevel"/>
    <w:tmpl w:val="A3580950"/>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1" w15:restartNumberingAfterBreak="0">
    <w:nsid w:val="19C67D9D"/>
    <w:multiLevelType w:val="hybridMultilevel"/>
    <w:tmpl w:val="959AA888"/>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1A6F5299"/>
    <w:multiLevelType w:val="hybridMultilevel"/>
    <w:tmpl w:val="B6BAAE42"/>
    <w:lvl w:ilvl="0" w:tplc="B7C457F4">
      <w:start w:val="1"/>
      <w:numFmt w:val="lowerLetter"/>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3" w15:restartNumberingAfterBreak="0">
    <w:nsid w:val="1BA370EC"/>
    <w:multiLevelType w:val="hybridMultilevel"/>
    <w:tmpl w:val="C512D3F4"/>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F222417"/>
    <w:multiLevelType w:val="hybridMultilevel"/>
    <w:tmpl w:val="86FCF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7F45B4"/>
    <w:multiLevelType w:val="hybridMultilevel"/>
    <w:tmpl w:val="7D9A01C0"/>
    <w:lvl w:ilvl="0" w:tplc="1C09001B">
      <w:start w:val="1"/>
      <w:numFmt w:val="lowerRoman"/>
      <w:lvlText w:val="%1."/>
      <w:lvlJc w:val="right"/>
      <w:pPr>
        <w:ind w:left="612" w:hanging="360"/>
      </w:pPr>
    </w:lvl>
    <w:lvl w:ilvl="1" w:tplc="1C090019" w:tentative="1">
      <w:start w:val="1"/>
      <w:numFmt w:val="lowerLetter"/>
      <w:lvlText w:val="%2."/>
      <w:lvlJc w:val="left"/>
      <w:pPr>
        <w:ind w:left="1332" w:hanging="360"/>
      </w:pPr>
    </w:lvl>
    <w:lvl w:ilvl="2" w:tplc="1C09001B" w:tentative="1">
      <w:start w:val="1"/>
      <w:numFmt w:val="lowerRoman"/>
      <w:lvlText w:val="%3."/>
      <w:lvlJc w:val="right"/>
      <w:pPr>
        <w:ind w:left="2052" w:hanging="180"/>
      </w:pPr>
    </w:lvl>
    <w:lvl w:ilvl="3" w:tplc="1C09000F" w:tentative="1">
      <w:start w:val="1"/>
      <w:numFmt w:val="decimal"/>
      <w:lvlText w:val="%4."/>
      <w:lvlJc w:val="left"/>
      <w:pPr>
        <w:ind w:left="2772" w:hanging="360"/>
      </w:pPr>
    </w:lvl>
    <w:lvl w:ilvl="4" w:tplc="1C090019" w:tentative="1">
      <w:start w:val="1"/>
      <w:numFmt w:val="lowerLetter"/>
      <w:lvlText w:val="%5."/>
      <w:lvlJc w:val="left"/>
      <w:pPr>
        <w:ind w:left="3492" w:hanging="360"/>
      </w:pPr>
    </w:lvl>
    <w:lvl w:ilvl="5" w:tplc="1C09001B" w:tentative="1">
      <w:start w:val="1"/>
      <w:numFmt w:val="lowerRoman"/>
      <w:lvlText w:val="%6."/>
      <w:lvlJc w:val="right"/>
      <w:pPr>
        <w:ind w:left="4212" w:hanging="180"/>
      </w:pPr>
    </w:lvl>
    <w:lvl w:ilvl="6" w:tplc="1C09000F" w:tentative="1">
      <w:start w:val="1"/>
      <w:numFmt w:val="decimal"/>
      <w:lvlText w:val="%7."/>
      <w:lvlJc w:val="left"/>
      <w:pPr>
        <w:ind w:left="4932" w:hanging="360"/>
      </w:pPr>
    </w:lvl>
    <w:lvl w:ilvl="7" w:tplc="1C090019" w:tentative="1">
      <w:start w:val="1"/>
      <w:numFmt w:val="lowerLetter"/>
      <w:lvlText w:val="%8."/>
      <w:lvlJc w:val="left"/>
      <w:pPr>
        <w:ind w:left="5652" w:hanging="360"/>
      </w:pPr>
    </w:lvl>
    <w:lvl w:ilvl="8" w:tplc="1C09001B" w:tentative="1">
      <w:start w:val="1"/>
      <w:numFmt w:val="lowerRoman"/>
      <w:lvlText w:val="%9."/>
      <w:lvlJc w:val="right"/>
      <w:pPr>
        <w:ind w:left="6372" w:hanging="180"/>
      </w:pPr>
    </w:lvl>
  </w:abstractNum>
  <w:abstractNum w:abstractNumId="6" w15:restartNumberingAfterBreak="0">
    <w:nsid w:val="21FD1DA5"/>
    <w:multiLevelType w:val="hybridMultilevel"/>
    <w:tmpl w:val="DA626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0430A6"/>
    <w:multiLevelType w:val="hybridMultilevel"/>
    <w:tmpl w:val="230E3346"/>
    <w:lvl w:ilvl="0" w:tplc="1C090005">
      <w:start w:val="1"/>
      <w:numFmt w:val="bullet"/>
      <w:lvlText w:val=""/>
      <w:lvlJc w:val="left"/>
      <w:pPr>
        <w:ind w:left="1080" w:hanging="360"/>
      </w:pPr>
      <w:rPr>
        <w:rFonts w:ascii="Wingdings" w:hAnsi="Wingding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298E5F98"/>
    <w:multiLevelType w:val="hybridMultilevel"/>
    <w:tmpl w:val="23E20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A72E12"/>
    <w:multiLevelType w:val="hybridMultilevel"/>
    <w:tmpl w:val="AD7E5362"/>
    <w:lvl w:ilvl="0" w:tplc="1C09001B">
      <w:start w:val="1"/>
      <w:numFmt w:val="lowerRoman"/>
      <w:lvlText w:val="%1."/>
      <w:lvlJc w:val="right"/>
      <w:pPr>
        <w:ind w:left="754" w:hanging="72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10" w15:restartNumberingAfterBreak="0">
    <w:nsid w:val="3ABB5184"/>
    <w:multiLevelType w:val="hybridMultilevel"/>
    <w:tmpl w:val="1BAE57B4"/>
    <w:lvl w:ilvl="0" w:tplc="1C090017">
      <w:start w:val="1"/>
      <w:numFmt w:val="lowerLetter"/>
      <w:lvlText w:val="%1)"/>
      <w:lvlJc w:val="left"/>
      <w:pPr>
        <w:ind w:left="720" w:hanging="360"/>
      </w:pPr>
      <w:rPr>
        <w:rFonts w:hint="default"/>
      </w:rPr>
    </w:lvl>
    <w:lvl w:ilvl="1" w:tplc="AAB6BD92">
      <w:start w:val="1"/>
      <w:numFmt w:val="decimal"/>
      <w:lvlText w:val="%2."/>
      <w:lvlJc w:val="left"/>
      <w:pPr>
        <w:ind w:left="1480" w:hanging="40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E2B4443"/>
    <w:multiLevelType w:val="hybridMultilevel"/>
    <w:tmpl w:val="896C90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EA74BF0"/>
    <w:multiLevelType w:val="hybridMultilevel"/>
    <w:tmpl w:val="0BC83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6C1520"/>
    <w:multiLevelType w:val="hybridMultilevel"/>
    <w:tmpl w:val="84C29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2D4B97"/>
    <w:multiLevelType w:val="hybridMultilevel"/>
    <w:tmpl w:val="3E4EB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4E4723"/>
    <w:multiLevelType w:val="hybridMultilevel"/>
    <w:tmpl w:val="AEF2E5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CC21A6"/>
    <w:multiLevelType w:val="hybridMultilevel"/>
    <w:tmpl w:val="8FAC311E"/>
    <w:lvl w:ilvl="0" w:tplc="1C090005">
      <w:start w:val="1"/>
      <w:numFmt w:val="bullet"/>
      <w:lvlText w:val=""/>
      <w:lvlJc w:val="left"/>
      <w:pPr>
        <w:ind w:left="819"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17" w15:restartNumberingAfterBreak="0">
    <w:nsid w:val="4FC27C4C"/>
    <w:multiLevelType w:val="hybridMultilevel"/>
    <w:tmpl w:val="A3C09732"/>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18" w15:restartNumberingAfterBreak="0">
    <w:nsid w:val="5C020740"/>
    <w:multiLevelType w:val="hybridMultilevel"/>
    <w:tmpl w:val="9500A9DA"/>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9" w15:restartNumberingAfterBreak="0">
    <w:nsid w:val="62F77367"/>
    <w:multiLevelType w:val="hybridMultilevel"/>
    <w:tmpl w:val="954877A0"/>
    <w:lvl w:ilvl="0" w:tplc="1C09001B">
      <w:start w:val="1"/>
      <w:numFmt w:val="lowerRoman"/>
      <w:lvlText w:val="%1."/>
      <w:lvlJc w:val="right"/>
      <w:pPr>
        <w:ind w:left="720" w:hanging="360"/>
      </w:pPr>
      <w:rPr>
        <w:rFonts w:hint="default"/>
      </w:rPr>
    </w:lvl>
    <w:lvl w:ilvl="1" w:tplc="AAB6BD92">
      <w:start w:val="1"/>
      <w:numFmt w:val="decimal"/>
      <w:lvlText w:val="%2."/>
      <w:lvlJc w:val="left"/>
      <w:pPr>
        <w:ind w:left="1480" w:hanging="40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325534F"/>
    <w:multiLevelType w:val="hybridMultilevel"/>
    <w:tmpl w:val="7B76C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583189"/>
    <w:multiLevelType w:val="hybridMultilevel"/>
    <w:tmpl w:val="4832F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EC375D"/>
    <w:multiLevelType w:val="hybridMultilevel"/>
    <w:tmpl w:val="C61E14AA"/>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B974EE0"/>
    <w:multiLevelType w:val="hybridMultilevel"/>
    <w:tmpl w:val="3B68872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6FD63C78"/>
    <w:multiLevelType w:val="hybridMultilevel"/>
    <w:tmpl w:val="30AA37D4"/>
    <w:lvl w:ilvl="0" w:tplc="1C090005">
      <w:start w:val="1"/>
      <w:numFmt w:val="bullet"/>
      <w:lvlText w:val=""/>
      <w:lvlJc w:val="left"/>
      <w:pPr>
        <w:ind w:left="819"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25" w15:restartNumberingAfterBreak="0">
    <w:nsid w:val="716D2607"/>
    <w:multiLevelType w:val="hybridMultilevel"/>
    <w:tmpl w:val="32A8E4B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7B135348"/>
    <w:multiLevelType w:val="hybridMultilevel"/>
    <w:tmpl w:val="B72E074C"/>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27" w15:restartNumberingAfterBreak="0">
    <w:nsid w:val="7BE975E1"/>
    <w:multiLevelType w:val="hybridMultilevel"/>
    <w:tmpl w:val="B72E074C"/>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num w:numId="1">
    <w:abstractNumId w:val="3"/>
  </w:num>
  <w:num w:numId="2">
    <w:abstractNumId w:val="16"/>
  </w:num>
  <w:num w:numId="3">
    <w:abstractNumId w:val="25"/>
  </w:num>
  <w:num w:numId="4">
    <w:abstractNumId w:val="18"/>
  </w:num>
  <w:num w:numId="5">
    <w:abstractNumId w:val="22"/>
  </w:num>
  <w:num w:numId="6">
    <w:abstractNumId w:val="2"/>
  </w:num>
  <w:num w:numId="7">
    <w:abstractNumId w:val="0"/>
  </w:num>
  <w:num w:numId="8">
    <w:abstractNumId w:val="27"/>
  </w:num>
  <w:num w:numId="9">
    <w:abstractNumId w:val="26"/>
  </w:num>
  <w:num w:numId="10">
    <w:abstractNumId w:val="19"/>
  </w:num>
  <w:num w:numId="11">
    <w:abstractNumId w:val="17"/>
  </w:num>
  <w:num w:numId="12">
    <w:abstractNumId w:val="1"/>
  </w:num>
  <w:num w:numId="13">
    <w:abstractNumId w:val="11"/>
  </w:num>
  <w:num w:numId="14">
    <w:abstractNumId w:val="9"/>
  </w:num>
  <w:num w:numId="15">
    <w:abstractNumId w:val="5"/>
  </w:num>
  <w:num w:numId="16">
    <w:abstractNumId w:val="10"/>
  </w:num>
  <w:num w:numId="17">
    <w:abstractNumId w:val="23"/>
  </w:num>
  <w:num w:numId="18">
    <w:abstractNumId w:val="24"/>
  </w:num>
  <w:num w:numId="19">
    <w:abstractNumId w:val="7"/>
  </w:num>
  <w:num w:numId="20">
    <w:abstractNumId w:val="15"/>
  </w:num>
  <w:num w:numId="21">
    <w:abstractNumId w:val="4"/>
  </w:num>
  <w:num w:numId="22">
    <w:abstractNumId w:val="13"/>
  </w:num>
  <w:num w:numId="23">
    <w:abstractNumId w:val="6"/>
  </w:num>
  <w:num w:numId="24">
    <w:abstractNumId w:val="12"/>
  </w:num>
  <w:num w:numId="25">
    <w:abstractNumId w:val="14"/>
  </w:num>
  <w:num w:numId="26">
    <w:abstractNumId w:val="21"/>
  </w:num>
  <w:num w:numId="27">
    <w:abstractNumId w:val="8"/>
  </w:num>
  <w:num w:numId="28">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31D"/>
    <w:rsid w:val="00006A45"/>
    <w:rsid w:val="00026985"/>
    <w:rsid w:val="0003491F"/>
    <w:rsid w:val="000506EB"/>
    <w:rsid w:val="00061476"/>
    <w:rsid w:val="00065F77"/>
    <w:rsid w:val="00074C99"/>
    <w:rsid w:val="000808AF"/>
    <w:rsid w:val="000A0CF7"/>
    <w:rsid w:val="000C580B"/>
    <w:rsid w:val="000E0F6E"/>
    <w:rsid w:val="000E6631"/>
    <w:rsid w:val="001246DB"/>
    <w:rsid w:val="00130036"/>
    <w:rsid w:val="00145F98"/>
    <w:rsid w:val="00146A0C"/>
    <w:rsid w:val="0015101D"/>
    <w:rsid w:val="00154AB4"/>
    <w:rsid w:val="00170E74"/>
    <w:rsid w:val="00185E9E"/>
    <w:rsid w:val="001A3ED5"/>
    <w:rsid w:val="001A43F7"/>
    <w:rsid w:val="001A5B92"/>
    <w:rsid w:val="001E35C3"/>
    <w:rsid w:val="001F3ED5"/>
    <w:rsid w:val="001F41FA"/>
    <w:rsid w:val="00203986"/>
    <w:rsid w:val="002222D0"/>
    <w:rsid w:val="00227B98"/>
    <w:rsid w:val="002328CF"/>
    <w:rsid w:val="00233229"/>
    <w:rsid w:val="002438F6"/>
    <w:rsid w:val="002476A0"/>
    <w:rsid w:val="00270145"/>
    <w:rsid w:val="002818DC"/>
    <w:rsid w:val="00286F0D"/>
    <w:rsid w:val="002B1B91"/>
    <w:rsid w:val="002C0D6F"/>
    <w:rsid w:val="002E22F9"/>
    <w:rsid w:val="003179D2"/>
    <w:rsid w:val="00324F71"/>
    <w:rsid w:val="003445F8"/>
    <w:rsid w:val="00354D00"/>
    <w:rsid w:val="003576AA"/>
    <w:rsid w:val="00396FB5"/>
    <w:rsid w:val="003A146B"/>
    <w:rsid w:val="003A55C8"/>
    <w:rsid w:val="003C0ADB"/>
    <w:rsid w:val="003D6FA1"/>
    <w:rsid w:val="003F1D52"/>
    <w:rsid w:val="003F1F75"/>
    <w:rsid w:val="003F38DE"/>
    <w:rsid w:val="00417BD9"/>
    <w:rsid w:val="00425382"/>
    <w:rsid w:val="00427EBE"/>
    <w:rsid w:val="00437483"/>
    <w:rsid w:val="00437AA8"/>
    <w:rsid w:val="00445198"/>
    <w:rsid w:val="00450604"/>
    <w:rsid w:val="00450B8D"/>
    <w:rsid w:val="004517D2"/>
    <w:rsid w:val="00460159"/>
    <w:rsid w:val="004609E4"/>
    <w:rsid w:val="004715C1"/>
    <w:rsid w:val="00474501"/>
    <w:rsid w:val="004B67E0"/>
    <w:rsid w:val="004D2A9C"/>
    <w:rsid w:val="004D4F14"/>
    <w:rsid w:val="004F162D"/>
    <w:rsid w:val="004F1707"/>
    <w:rsid w:val="004F3993"/>
    <w:rsid w:val="005123DE"/>
    <w:rsid w:val="00513119"/>
    <w:rsid w:val="00513933"/>
    <w:rsid w:val="0052327A"/>
    <w:rsid w:val="00535398"/>
    <w:rsid w:val="00535A16"/>
    <w:rsid w:val="00550565"/>
    <w:rsid w:val="005613FC"/>
    <w:rsid w:val="00570B9D"/>
    <w:rsid w:val="005A0C96"/>
    <w:rsid w:val="005B5706"/>
    <w:rsid w:val="005C33D9"/>
    <w:rsid w:val="005C692F"/>
    <w:rsid w:val="005C6AD3"/>
    <w:rsid w:val="005D0E75"/>
    <w:rsid w:val="005D17DA"/>
    <w:rsid w:val="005D31D2"/>
    <w:rsid w:val="005D3D0B"/>
    <w:rsid w:val="005E4776"/>
    <w:rsid w:val="005F2A08"/>
    <w:rsid w:val="00603160"/>
    <w:rsid w:val="00612B50"/>
    <w:rsid w:val="00614E84"/>
    <w:rsid w:val="0063231B"/>
    <w:rsid w:val="006343ED"/>
    <w:rsid w:val="0064057E"/>
    <w:rsid w:val="00661595"/>
    <w:rsid w:val="0066664A"/>
    <w:rsid w:val="00673467"/>
    <w:rsid w:val="00680BB7"/>
    <w:rsid w:val="006A31FF"/>
    <w:rsid w:val="006A520B"/>
    <w:rsid w:val="006B2AE0"/>
    <w:rsid w:val="006D331D"/>
    <w:rsid w:val="006D3BDB"/>
    <w:rsid w:val="006D70F9"/>
    <w:rsid w:val="006E0FD1"/>
    <w:rsid w:val="006E4AD9"/>
    <w:rsid w:val="006E7AB5"/>
    <w:rsid w:val="007029B4"/>
    <w:rsid w:val="0070462C"/>
    <w:rsid w:val="00711677"/>
    <w:rsid w:val="007257D0"/>
    <w:rsid w:val="007326AB"/>
    <w:rsid w:val="007418E2"/>
    <w:rsid w:val="00744E7F"/>
    <w:rsid w:val="00745BEC"/>
    <w:rsid w:val="00792954"/>
    <w:rsid w:val="00793D67"/>
    <w:rsid w:val="007B5200"/>
    <w:rsid w:val="007C6046"/>
    <w:rsid w:val="007C67E1"/>
    <w:rsid w:val="007E3B95"/>
    <w:rsid w:val="007F77E8"/>
    <w:rsid w:val="00806E24"/>
    <w:rsid w:val="0081153C"/>
    <w:rsid w:val="00831F54"/>
    <w:rsid w:val="00846762"/>
    <w:rsid w:val="00850A3D"/>
    <w:rsid w:val="00861AFA"/>
    <w:rsid w:val="00886814"/>
    <w:rsid w:val="008C77CB"/>
    <w:rsid w:val="008E4870"/>
    <w:rsid w:val="008E7ADE"/>
    <w:rsid w:val="00910FA3"/>
    <w:rsid w:val="00923C84"/>
    <w:rsid w:val="0093311B"/>
    <w:rsid w:val="00937EB2"/>
    <w:rsid w:val="009512DC"/>
    <w:rsid w:val="009600C4"/>
    <w:rsid w:val="00970B04"/>
    <w:rsid w:val="00973337"/>
    <w:rsid w:val="00984643"/>
    <w:rsid w:val="009A4665"/>
    <w:rsid w:val="009B0A34"/>
    <w:rsid w:val="009B0D99"/>
    <w:rsid w:val="009B2F8C"/>
    <w:rsid w:val="009D0C31"/>
    <w:rsid w:val="009D454F"/>
    <w:rsid w:val="009F0EB8"/>
    <w:rsid w:val="009F715C"/>
    <w:rsid w:val="00A313EC"/>
    <w:rsid w:val="00A42943"/>
    <w:rsid w:val="00A434F3"/>
    <w:rsid w:val="00A44238"/>
    <w:rsid w:val="00A54131"/>
    <w:rsid w:val="00A66DBA"/>
    <w:rsid w:val="00A6743B"/>
    <w:rsid w:val="00A704B8"/>
    <w:rsid w:val="00A75398"/>
    <w:rsid w:val="00AB26CD"/>
    <w:rsid w:val="00AC2C18"/>
    <w:rsid w:val="00AC2DEE"/>
    <w:rsid w:val="00AC6896"/>
    <w:rsid w:val="00AE36C3"/>
    <w:rsid w:val="00AE7765"/>
    <w:rsid w:val="00AF42A4"/>
    <w:rsid w:val="00B15021"/>
    <w:rsid w:val="00B163B9"/>
    <w:rsid w:val="00B26149"/>
    <w:rsid w:val="00B36A79"/>
    <w:rsid w:val="00B452D5"/>
    <w:rsid w:val="00B47F32"/>
    <w:rsid w:val="00B5787E"/>
    <w:rsid w:val="00B64554"/>
    <w:rsid w:val="00B64703"/>
    <w:rsid w:val="00B726DF"/>
    <w:rsid w:val="00B736AC"/>
    <w:rsid w:val="00B91563"/>
    <w:rsid w:val="00B96756"/>
    <w:rsid w:val="00BB3573"/>
    <w:rsid w:val="00BC043B"/>
    <w:rsid w:val="00BF608A"/>
    <w:rsid w:val="00C103D9"/>
    <w:rsid w:val="00C145D7"/>
    <w:rsid w:val="00C2129B"/>
    <w:rsid w:val="00C2454A"/>
    <w:rsid w:val="00C32AEC"/>
    <w:rsid w:val="00C550F2"/>
    <w:rsid w:val="00C71BFD"/>
    <w:rsid w:val="00C74C20"/>
    <w:rsid w:val="00CA506B"/>
    <w:rsid w:val="00CF3EC5"/>
    <w:rsid w:val="00CF6282"/>
    <w:rsid w:val="00D11F67"/>
    <w:rsid w:val="00D431B1"/>
    <w:rsid w:val="00D44D5B"/>
    <w:rsid w:val="00D5164A"/>
    <w:rsid w:val="00D65906"/>
    <w:rsid w:val="00D91573"/>
    <w:rsid w:val="00D91B26"/>
    <w:rsid w:val="00D9517F"/>
    <w:rsid w:val="00D95627"/>
    <w:rsid w:val="00DC72D5"/>
    <w:rsid w:val="00DC7843"/>
    <w:rsid w:val="00DE2E3D"/>
    <w:rsid w:val="00DE34CB"/>
    <w:rsid w:val="00DF075B"/>
    <w:rsid w:val="00DF60D3"/>
    <w:rsid w:val="00E0200F"/>
    <w:rsid w:val="00E12FDA"/>
    <w:rsid w:val="00E3156D"/>
    <w:rsid w:val="00E5195F"/>
    <w:rsid w:val="00E52B2F"/>
    <w:rsid w:val="00E62414"/>
    <w:rsid w:val="00E65CAD"/>
    <w:rsid w:val="00E736D7"/>
    <w:rsid w:val="00E75D87"/>
    <w:rsid w:val="00E767E6"/>
    <w:rsid w:val="00EA37AA"/>
    <w:rsid w:val="00EB1589"/>
    <w:rsid w:val="00EB6518"/>
    <w:rsid w:val="00ED2F6A"/>
    <w:rsid w:val="00EE412D"/>
    <w:rsid w:val="00EF67BD"/>
    <w:rsid w:val="00F11009"/>
    <w:rsid w:val="00F27931"/>
    <w:rsid w:val="00F309CF"/>
    <w:rsid w:val="00F505BA"/>
    <w:rsid w:val="00F53803"/>
    <w:rsid w:val="00F56623"/>
    <w:rsid w:val="00F57C27"/>
    <w:rsid w:val="00F6090C"/>
    <w:rsid w:val="00F85DB5"/>
    <w:rsid w:val="00F9219E"/>
    <w:rsid w:val="00F973EF"/>
    <w:rsid w:val="00FA1C30"/>
    <w:rsid w:val="00FB4723"/>
    <w:rsid w:val="00FD12ED"/>
    <w:rsid w:val="00FE5584"/>
    <w:rsid w:val="00FE5EDE"/>
    <w:rsid w:val="00FE6D14"/>
    <w:rsid w:val="00FF5E3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9133C"/>
  <w15:docId w15:val="{75176F4F-7486-4A03-91A8-C99B7542D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D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331D"/>
    <w:pPr>
      <w:spacing w:after="0" w:line="26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331D"/>
    <w:pPr>
      <w:ind w:left="720"/>
      <w:contextualSpacing/>
    </w:pPr>
  </w:style>
  <w:style w:type="paragraph" w:styleId="Header">
    <w:name w:val="header"/>
    <w:basedOn w:val="Normal"/>
    <w:link w:val="HeaderChar"/>
    <w:uiPriority w:val="99"/>
    <w:unhideWhenUsed/>
    <w:rsid w:val="001300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036"/>
  </w:style>
  <w:style w:type="paragraph" w:styleId="Footer">
    <w:name w:val="footer"/>
    <w:basedOn w:val="Normal"/>
    <w:link w:val="FooterChar"/>
    <w:uiPriority w:val="99"/>
    <w:unhideWhenUsed/>
    <w:rsid w:val="001300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036"/>
  </w:style>
  <w:style w:type="paragraph" w:styleId="FootnoteText">
    <w:name w:val="footnote text"/>
    <w:basedOn w:val="Normal"/>
    <w:link w:val="FootnoteTextChar"/>
    <w:uiPriority w:val="99"/>
    <w:semiHidden/>
    <w:unhideWhenUsed/>
    <w:rsid w:val="006343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43ED"/>
    <w:rPr>
      <w:sz w:val="20"/>
      <w:szCs w:val="20"/>
    </w:rPr>
  </w:style>
  <w:style w:type="character" w:styleId="FootnoteReference">
    <w:name w:val="footnote reference"/>
    <w:basedOn w:val="DefaultParagraphFont"/>
    <w:uiPriority w:val="99"/>
    <w:semiHidden/>
    <w:unhideWhenUsed/>
    <w:rsid w:val="006343ED"/>
    <w:rPr>
      <w:vertAlign w:val="superscript"/>
    </w:rPr>
  </w:style>
  <w:style w:type="paragraph" w:styleId="BalloonText">
    <w:name w:val="Balloon Text"/>
    <w:basedOn w:val="Normal"/>
    <w:link w:val="BalloonTextChar"/>
    <w:uiPriority w:val="99"/>
    <w:semiHidden/>
    <w:unhideWhenUsed/>
    <w:rsid w:val="004B67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E0"/>
    <w:rPr>
      <w:rFonts w:ascii="Tahoma" w:hAnsi="Tahoma" w:cs="Tahoma"/>
      <w:sz w:val="16"/>
      <w:szCs w:val="16"/>
    </w:rPr>
  </w:style>
  <w:style w:type="paragraph" w:customStyle="1" w:styleId="Default">
    <w:name w:val="Default"/>
    <w:rsid w:val="003F1F75"/>
    <w:pPr>
      <w:autoSpaceDE w:val="0"/>
      <w:autoSpaceDN w:val="0"/>
      <w:adjustRightInd w:val="0"/>
      <w:spacing w:after="0" w:line="240" w:lineRule="auto"/>
    </w:pPr>
    <w:rPr>
      <w:rFonts w:ascii="Calibri" w:hAnsi="Calibri" w:cs="Calibri"/>
      <w:color w:val="000000"/>
      <w:sz w:val="24"/>
      <w:szCs w:val="24"/>
    </w:rPr>
  </w:style>
  <w:style w:type="paragraph" w:customStyle="1" w:styleId="Pa3">
    <w:name w:val="Pa3"/>
    <w:basedOn w:val="Default"/>
    <w:next w:val="Default"/>
    <w:uiPriority w:val="99"/>
    <w:rsid w:val="004F3993"/>
    <w:pPr>
      <w:spacing w:line="231" w:lineRule="atLeast"/>
    </w:pPr>
    <w:rPr>
      <w:rFonts w:ascii="Franklin Gothic Book" w:hAnsi="Franklin Gothic Book" w:cstheme="minorBidi"/>
      <w:color w:val="auto"/>
      <w:lang w:val="en-US"/>
    </w:rPr>
  </w:style>
  <w:style w:type="character" w:customStyle="1" w:styleId="A9">
    <w:name w:val="A9"/>
    <w:uiPriority w:val="99"/>
    <w:rsid w:val="004F3993"/>
    <w:rPr>
      <w:rFonts w:cs="Franklin Gothic Book"/>
      <w:color w:val="000000"/>
      <w:sz w:val="18"/>
      <w:szCs w:val="18"/>
    </w:rPr>
  </w:style>
  <w:style w:type="paragraph" w:customStyle="1" w:styleId="Pa0">
    <w:name w:val="Pa0"/>
    <w:basedOn w:val="Default"/>
    <w:next w:val="Default"/>
    <w:uiPriority w:val="99"/>
    <w:rsid w:val="003F1D52"/>
    <w:pPr>
      <w:spacing w:line="241" w:lineRule="atLeast"/>
    </w:pPr>
    <w:rPr>
      <w:rFonts w:ascii="Minion Pro" w:hAnsi="Minion Pro" w:cstheme="minorBidi"/>
      <w:color w:val="auto"/>
      <w:lang w:val="en-US"/>
    </w:rPr>
  </w:style>
  <w:style w:type="character" w:customStyle="1" w:styleId="A0">
    <w:name w:val="A0"/>
    <w:uiPriority w:val="99"/>
    <w:rsid w:val="003F1D52"/>
    <w:rPr>
      <w:rFonts w:ascii="Franklin Gothic Medium" w:hAnsi="Franklin Gothic Medium" w:cs="Franklin Gothic Medium"/>
      <w:color w:val="000000"/>
      <w:sz w:val="19"/>
      <w:szCs w:val="19"/>
    </w:rPr>
  </w:style>
  <w:style w:type="character" w:customStyle="1" w:styleId="A16">
    <w:name w:val="A16"/>
    <w:uiPriority w:val="99"/>
    <w:rsid w:val="003F1D52"/>
    <w:rPr>
      <w:rFonts w:cs="Minion Pro"/>
      <w:color w:val="000000"/>
      <w:sz w:val="23"/>
      <w:szCs w:val="23"/>
    </w:rPr>
  </w:style>
  <w:style w:type="character" w:styleId="Hyperlink">
    <w:name w:val="Hyperlink"/>
    <w:basedOn w:val="DefaultParagraphFont"/>
    <w:uiPriority w:val="99"/>
    <w:unhideWhenUsed/>
    <w:rsid w:val="00A434F3"/>
    <w:rPr>
      <w:color w:val="0000FF" w:themeColor="hyperlink"/>
      <w:u w:val="single"/>
    </w:rPr>
  </w:style>
  <w:style w:type="paragraph" w:styleId="BodyText">
    <w:name w:val="Body Text"/>
    <w:basedOn w:val="Normal"/>
    <w:link w:val="BodyTextChar"/>
    <w:uiPriority w:val="99"/>
    <w:unhideWhenUsed/>
    <w:rsid w:val="004715C1"/>
    <w:pPr>
      <w:spacing w:after="120"/>
    </w:pPr>
  </w:style>
  <w:style w:type="character" w:customStyle="1" w:styleId="BodyTextChar">
    <w:name w:val="Body Text Char"/>
    <w:basedOn w:val="DefaultParagraphFont"/>
    <w:link w:val="BodyText"/>
    <w:uiPriority w:val="99"/>
    <w:rsid w:val="004715C1"/>
  </w:style>
  <w:style w:type="character" w:styleId="CommentReference">
    <w:name w:val="annotation reference"/>
    <w:basedOn w:val="DefaultParagraphFont"/>
    <w:uiPriority w:val="99"/>
    <w:semiHidden/>
    <w:unhideWhenUsed/>
    <w:rsid w:val="001A3ED5"/>
    <w:rPr>
      <w:sz w:val="16"/>
      <w:szCs w:val="16"/>
    </w:rPr>
  </w:style>
  <w:style w:type="paragraph" w:styleId="CommentText">
    <w:name w:val="annotation text"/>
    <w:basedOn w:val="Normal"/>
    <w:link w:val="CommentTextChar"/>
    <w:uiPriority w:val="99"/>
    <w:semiHidden/>
    <w:unhideWhenUsed/>
    <w:rsid w:val="001A3ED5"/>
    <w:pPr>
      <w:spacing w:line="240" w:lineRule="auto"/>
    </w:pPr>
    <w:rPr>
      <w:sz w:val="20"/>
      <w:szCs w:val="20"/>
    </w:rPr>
  </w:style>
  <w:style w:type="character" w:customStyle="1" w:styleId="CommentTextChar">
    <w:name w:val="Comment Text Char"/>
    <w:basedOn w:val="DefaultParagraphFont"/>
    <w:link w:val="CommentText"/>
    <w:uiPriority w:val="99"/>
    <w:semiHidden/>
    <w:rsid w:val="001A3ED5"/>
    <w:rPr>
      <w:sz w:val="20"/>
      <w:szCs w:val="20"/>
    </w:rPr>
  </w:style>
  <w:style w:type="paragraph" w:styleId="CommentSubject">
    <w:name w:val="annotation subject"/>
    <w:basedOn w:val="CommentText"/>
    <w:next w:val="CommentText"/>
    <w:link w:val="CommentSubjectChar"/>
    <w:uiPriority w:val="99"/>
    <w:semiHidden/>
    <w:unhideWhenUsed/>
    <w:rsid w:val="001A3ED5"/>
    <w:rPr>
      <w:b/>
      <w:bCs/>
    </w:rPr>
  </w:style>
  <w:style w:type="character" w:customStyle="1" w:styleId="CommentSubjectChar">
    <w:name w:val="Comment Subject Char"/>
    <w:basedOn w:val="CommentTextChar"/>
    <w:link w:val="CommentSubject"/>
    <w:uiPriority w:val="99"/>
    <w:semiHidden/>
    <w:rsid w:val="001A3ED5"/>
    <w:rPr>
      <w:b/>
      <w:bCs/>
      <w:sz w:val="20"/>
      <w:szCs w:val="20"/>
    </w:rPr>
  </w:style>
  <w:style w:type="character" w:styleId="FollowedHyperlink">
    <w:name w:val="FollowedHyperlink"/>
    <w:basedOn w:val="DefaultParagraphFont"/>
    <w:uiPriority w:val="99"/>
    <w:semiHidden/>
    <w:unhideWhenUsed/>
    <w:rsid w:val="009A46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13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2F837-D182-4FC4-A10F-6FDB0044B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3</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Cobus Botes</dc:creator>
  <cp:lastModifiedBy>Kruse, Brandon G</cp:lastModifiedBy>
  <cp:revision>17</cp:revision>
  <cp:lastPrinted>2017-06-29T09:54:00Z</cp:lastPrinted>
  <dcterms:created xsi:type="dcterms:W3CDTF">2021-08-24T13:53:00Z</dcterms:created>
  <dcterms:modified xsi:type="dcterms:W3CDTF">2021-08-31T13:48:00Z</dcterms:modified>
</cp:coreProperties>
</file>