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04" w:rsidRPr="00794356" w:rsidRDefault="00952D3A">
      <w:pPr>
        <w:rPr>
          <w:b/>
          <w:lang w:val="en-US"/>
        </w:rPr>
      </w:pPr>
      <w:r w:rsidRPr="00952D3A">
        <w:rPr>
          <w:b/>
          <w:u w:val="single"/>
          <w:lang w:val="en-US"/>
        </w:rPr>
        <w:t>Research project on SAI</w:t>
      </w:r>
      <w:r w:rsidR="00B91EB9" w:rsidRPr="00952D3A">
        <w:rPr>
          <w:b/>
          <w:u w:val="single"/>
          <w:lang w:val="en-US"/>
        </w:rPr>
        <w:t xml:space="preserve"> Independence</w:t>
      </w:r>
      <w:r w:rsidR="00456ED1" w:rsidRPr="00952D3A">
        <w:rPr>
          <w:b/>
          <w:u w:val="single"/>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00456ED1">
        <w:rPr>
          <w:b/>
          <w:lang w:val="en-US"/>
        </w:rPr>
        <w:t>V: 01/09</w:t>
      </w:r>
      <w:r w:rsidR="002B5004">
        <w:rPr>
          <w:b/>
          <w:lang w:val="en-US"/>
        </w:rPr>
        <w:t>/2020</w:t>
      </w:r>
    </w:p>
    <w:p w:rsidR="00F839B7" w:rsidRPr="00B91EB9" w:rsidRDefault="007257EE">
      <w:pPr>
        <w:rPr>
          <w:lang w:val="en-US"/>
        </w:rPr>
      </w:pPr>
      <w:r>
        <w:rPr>
          <w:lang w:val="en-US"/>
        </w:rPr>
        <w:t>Survey of</w:t>
      </w:r>
      <w:r w:rsidR="00DB7AF0">
        <w:rPr>
          <w:lang w:val="en-US"/>
        </w:rPr>
        <w:t xml:space="preserve"> </w:t>
      </w:r>
      <w:r w:rsidR="00334B49">
        <w:rPr>
          <w:lang w:val="en-US"/>
        </w:rPr>
        <w:t>SAI</w:t>
      </w:r>
      <w:r w:rsidR="00952D3A">
        <w:rPr>
          <w:lang w:val="en-US"/>
        </w:rPr>
        <w:t>s</w:t>
      </w:r>
    </w:p>
    <w:p w:rsidR="00B91EB9" w:rsidRPr="00952D3A" w:rsidRDefault="00FC3D1E">
      <w:pPr>
        <w:rPr>
          <w:b/>
          <w:lang w:val="en-US"/>
        </w:rPr>
      </w:pPr>
      <w:r w:rsidRPr="00952D3A">
        <w:rPr>
          <w:b/>
          <w:u w:val="single"/>
          <w:lang w:val="en-US"/>
        </w:rPr>
        <w:t xml:space="preserve">Purpose: to </w:t>
      </w:r>
      <w:r w:rsidR="00DB7AF0" w:rsidRPr="00952D3A">
        <w:rPr>
          <w:b/>
          <w:u w:val="single"/>
          <w:lang w:val="en-US"/>
        </w:rPr>
        <w:t xml:space="preserve">assess the recent trends, challenges and responses to preserve the </w:t>
      </w:r>
      <w:r w:rsidR="00334B49" w:rsidRPr="00952D3A">
        <w:rPr>
          <w:b/>
          <w:u w:val="single"/>
          <w:lang w:val="en-US"/>
        </w:rPr>
        <w:t>SAI</w:t>
      </w:r>
      <w:r w:rsidR="00DB7AF0" w:rsidRPr="00952D3A">
        <w:rPr>
          <w:b/>
          <w:u w:val="single"/>
          <w:lang w:val="en-US"/>
        </w:rPr>
        <w:t xml:space="preserve">’s </w:t>
      </w:r>
      <w:r w:rsidR="00334B49" w:rsidRPr="00952D3A">
        <w:rPr>
          <w:b/>
          <w:u w:val="single"/>
          <w:lang w:val="en-US"/>
        </w:rPr>
        <w:t xml:space="preserve">effective </w:t>
      </w:r>
      <w:r w:rsidR="00DB7AF0" w:rsidRPr="00952D3A">
        <w:rPr>
          <w:b/>
          <w:u w:val="single"/>
          <w:lang w:val="en-US"/>
        </w:rPr>
        <w:t>independence.</w:t>
      </w:r>
    </w:p>
    <w:tbl>
      <w:tblPr>
        <w:tblStyle w:val="TableGrid"/>
        <w:tblW w:w="5000" w:type="pct"/>
        <w:tblLook w:val="04A0"/>
      </w:tblPr>
      <w:tblGrid>
        <w:gridCol w:w="1757"/>
        <w:gridCol w:w="1546"/>
        <w:gridCol w:w="1337"/>
        <w:gridCol w:w="1321"/>
        <w:gridCol w:w="1515"/>
        <w:gridCol w:w="1353"/>
        <w:gridCol w:w="1521"/>
        <w:gridCol w:w="1452"/>
        <w:gridCol w:w="2418"/>
      </w:tblGrid>
      <w:tr w:rsidR="00D30A46" w:rsidRPr="00794356" w:rsidTr="00952D3A">
        <w:tc>
          <w:tcPr>
            <w:tcW w:w="667" w:type="pct"/>
            <w:vMerge w:val="restart"/>
          </w:tcPr>
          <w:p w:rsidR="00952D3A" w:rsidRDefault="00952D3A" w:rsidP="00334B49">
            <w:pPr>
              <w:jc w:val="center"/>
              <w:rPr>
                <w:b/>
                <w:lang w:val="en-US"/>
              </w:rPr>
            </w:pPr>
            <w:r>
              <w:rPr>
                <w:b/>
                <w:lang w:val="en-US"/>
              </w:rPr>
              <w:t>Criteria/</w:t>
            </w:r>
            <w:r w:rsidRPr="00952D3A">
              <w:rPr>
                <w:b/>
                <w:i/>
                <w:lang w:val="en-US"/>
              </w:rPr>
              <w:t>Mexico Declaration</w:t>
            </w:r>
            <w:r>
              <w:rPr>
                <w:b/>
                <w:lang w:val="en-US"/>
              </w:rPr>
              <w:t xml:space="preserve"> Principles</w:t>
            </w:r>
          </w:p>
          <w:p w:rsidR="00952D3A" w:rsidRDefault="00952D3A" w:rsidP="00334B49">
            <w:pPr>
              <w:jc w:val="center"/>
              <w:rPr>
                <w:b/>
                <w:lang w:val="en-US"/>
              </w:rPr>
            </w:pPr>
          </w:p>
        </w:tc>
        <w:tc>
          <w:tcPr>
            <w:tcW w:w="1102" w:type="pct"/>
            <w:gridSpan w:val="2"/>
          </w:tcPr>
          <w:p w:rsidR="00952D3A" w:rsidRPr="00952D3A" w:rsidRDefault="00952D3A" w:rsidP="00334B49">
            <w:pPr>
              <w:jc w:val="center"/>
              <w:rPr>
                <w:b/>
                <w:color w:val="00B050"/>
                <w:lang w:val="en-US"/>
              </w:rPr>
            </w:pPr>
            <w:r w:rsidRPr="00952D3A">
              <w:rPr>
                <w:b/>
                <w:color w:val="00B050"/>
                <w:lang w:val="en-US"/>
              </w:rPr>
              <w:t>Organizational independence</w:t>
            </w:r>
          </w:p>
        </w:tc>
        <w:tc>
          <w:tcPr>
            <w:tcW w:w="2331" w:type="pct"/>
            <w:gridSpan w:val="5"/>
          </w:tcPr>
          <w:p w:rsidR="00952D3A" w:rsidRPr="00952D3A" w:rsidRDefault="00952D3A" w:rsidP="00334B49">
            <w:pPr>
              <w:jc w:val="center"/>
              <w:rPr>
                <w:b/>
                <w:color w:val="FF0000"/>
                <w:lang w:val="en-US"/>
              </w:rPr>
            </w:pPr>
            <w:r w:rsidRPr="00952D3A">
              <w:rPr>
                <w:b/>
                <w:color w:val="FF0000"/>
                <w:lang w:val="en-US"/>
              </w:rPr>
              <w:t>Functional Independence</w:t>
            </w:r>
          </w:p>
        </w:tc>
        <w:tc>
          <w:tcPr>
            <w:tcW w:w="899" w:type="pct"/>
          </w:tcPr>
          <w:p w:rsidR="00952D3A" w:rsidRPr="00952D3A" w:rsidRDefault="00952D3A" w:rsidP="00952D3A">
            <w:pPr>
              <w:rPr>
                <w:b/>
                <w:color w:val="00B0F0"/>
                <w:lang w:val="en-US"/>
              </w:rPr>
            </w:pPr>
            <w:r w:rsidRPr="00952D3A">
              <w:rPr>
                <w:b/>
                <w:color w:val="00B0F0"/>
                <w:lang w:val="en-US"/>
              </w:rPr>
              <w:t>Financial Independence</w:t>
            </w:r>
          </w:p>
          <w:p w:rsidR="00952D3A" w:rsidRPr="00952D3A" w:rsidRDefault="00952D3A" w:rsidP="00334B49">
            <w:pPr>
              <w:jc w:val="center"/>
              <w:rPr>
                <w:b/>
                <w:color w:val="00B0F0"/>
                <w:lang w:val="en-US"/>
              </w:rPr>
            </w:pPr>
          </w:p>
        </w:tc>
      </w:tr>
      <w:tr w:rsidR="00D30A46" w:rsidRPr="00794356" w:rsidTr="00952D3A">
        <w:tc>
          <w:tcPr>
            <w:tcW w:w="667" w:type="pct"/>
            <w:vMerge/>
          </w:tcPr>
          <w:p w:rsidR="00952D3A" w:rsidRPr="00794356" w:rsidRDefault="00952D3A" w:rsidP="00334B49">
            <w:pPr>
              <w:jc w:val="center"/>
              <w:rPr>
                <w:b/>
                <w:lang w:val="en-US"/>
              </w:rPr>
            </w:pPr>
          </w:p>
        </w:tc>
        <w:tc>
          <w:tcPr>
            <w:tcW w:w="593" w:type="pct"/>
          </w:tcPr>
          <w:p w:rsidR="00952D3A" w:rsidRPr="00952D3A" w:rsidRDefault="00952D3A" w:rsidP="00334B49">
            <w:pPr>
              <w:jc w:val="center"/>
              <w:rPr>
                <w:lang w:val="en-US"/>
              </w:rPr>
            </w:pPr>
            <w:r w:rsidRPr="00952D3A">
              <w:rPr>
                <w:color w:val="00B050"/>
                <w:lang w:val="en-US"/>
              </w:rPr>
              <w:t>1 Statutory Framework</w:t>
            </w:r>
          </w:p>
        </w:tc>
        <w:tc>
          <w:tcPr>
            <w:tcW w:w="509" w:type="pct"/>
          </w:tcPr>
          <w:p w:rsidR="00952D3A" w:rsidRPr="00952D3A" w:rsidRDefault="00952D3A" w:rsidP="00334B49">
            <w:pPr>
              <w:jc w:val="center"/>
              <w:rPr>
                <w:lang w:val="en-US"/>
              </w:rPr>
            </w:pPr>
            <w:r w:rsidRPr="00952D3A">
              <w:rPr>
                <w:color w:val="00B050"/>
                <w:lang w:val="en-US"/>
              </w:rPr>
              <w:t>2 Heads and members</w:t>
            </w:r>
          </w:p>
        </w:tc>
        <w:tc>
          <w:tcPr>
            <w:tcW w:w="492" w:type="pct"/>
          </w:tcPr>
          <w:p w:rsidR="00952D3A" w:rsidRPr="00952D3A" w:rsidRDefault="00952D3A" w:rsidP="00334B49">
            <w:pPr>
              <w:jc w:val="center"/>
              <w:rPr>
                <w:lang w:val="en-US"/>
              </w:rPr>
            </w:pPr>
            <w:r w:rsidRPr="00952D3A">
              <w:rPr>
                <w:color w:val="FF0000"/>
                <w:lang w:val="en-US"/>
              </w:rPr>
              <w:t>3 Mandate</w:t>
            </w:r>
          </w:p>
        </w:tc>
        <w:tc>
          <w:tcPr>
            <w:tcW w:w="614" w:type="pct"/>
          </w:tcPr>
          <w:p w:rsidR="00952D3A" w:rsidRPr="00952D3A" w:rsidRDefault="00952D3A" w:rsidP="00334B49">
            <w:pPr>
              <w:jc w:val="center"/>
              <w:rPr>
                <w:lang w:val="en-US"/>
              </w:rPr>
            </w:pPr>
            <w:r w:rsidRPr="00952D3A">
              <w:rPr>
                <w:color w:val="FF0000"/>
                <w:lang w:val="en-US"/>
              </w:rPr>
              <w:t>4 Access to information</w:t>
            </w:r>
          </w:p>
        </w:tc>
        <w:tc>
          <w:tcPr>
            <w:tcW w:w="525" w:type="pct"/>
          </w:tcPr>
          <w:p w:rsidR="00952D3A" w:rsidRPr="00952D3A" w:rsidRDefault="00952D3A" w:rsidP="00334B49">
            <w:pPr>
              <w:jc w:val="center"/>
              <w:rPr>
                <w:lang w:val="en-US"/>
              </w:rPr>
            </w:pPr>
            <w:r w:rsidRPr="00952D3A">
              <w:rPr>
                <w:color w:val="FF0000"/>
                <w:lang w:val="en-US"/>
              </w:rPr>
              <w:t>5 Reporting</w:t>
            </w:r>
          </w:p>
        </w:tc>
        <w:tc>
          <w:tcPr>
            <w:tcW w:w="584" w:type="pct"/>
          </w:tcPr>
          <w:p w:rsidR="00952D3A" w:rsidRPr="00952D3A" w:rsidRDefault="00952D3A" w:rsidP="00334B49">
            <w:pPr>
              <w:jc w:val="center"/>
              <w:rPr>
                <w:lang w:val="en-US"/>
              </w:rPr>
            </w:pPr>
            <w:r w:rsidRPr="00952D3A">
              <w:rPr>
                <w:color w:val="FF0000"/>
                <w:lang w:val="en-US"/>
              </w:rPr>
              <w:t>6 Content and publication</w:t>
            </w:r>
          </w:p>
        </w:tc>
        <w:tc>
          <w:tcPr>
            <w:tcW w:w="115" w:type="pct"/>
          </w:tcPr>
          <w:p w:rsidR="00952D3A" w:rsidRPr="00952D3A" w:rsidRDefault="00952D3A" w:rsidP="00334B49">
            <w:pPr>
              <w:jc w:val="center"/>
              <w:rPr>
                <w:lang w:val="en-US"/>
              </w:rPr>
            </w:pPr>
            <w:r w:rsidRPr="00952D3A">
              <w:rPr>
                <w:color w:val="FF0000"/>
                <w:lang w:val="en-US"/>
              </w:rPr>
              <w:t>7 Follow-up</w:t>
            </w:r>
          </w:p>
        </w:tc>
        <w:tc>
          <w:tcPr>
            <w:tcW w:w="899" w:type="pct"/>
          </w:tcPr>
          <w:p w:rsidR="00952D3A" w:rsidRPr="00952D3A" w:rsidRDefault="00952D3A" w:rsidP="00334B49">
            <w:pPr>
              <w:jc w:val="center"/>
              <w:rPr>
                <w:lang w:val="en-US"/>
              </w:rPr>
            </w:pPr>
            <w:r w:rsidRPr="00952D3A">
              <w:rPr>
                <w:color w:val="00B0F0"/>
                <w:lang w:val="en-US"/>
              </w:rPr>
              <w:t>8 Financial and managerial autonomy</w:t>
            </w:r>
          </w:p>
        </w:tc>
      </w:tr>
      <w:tr w:rsidR="00D30A46" w:rsidTr="00952D3A">
        <w:tc>
          <w:tcPr>
            <w:tcW w:w="667" w:type="pct"/>
          </w:tcPr>
          <w:p w:rsidR="00B91EB9" w:rsidRPr="00794356" w:rsidRDefault="00794356" w:rsidP="00794356">
            <w:pPr>
              <w:rPr>
                <w:lang w:val="en-US"/>
              </w:rPr>
            </w:pPr>
            <w:r>
              <w:rPr>
                <w:lang w:val="en-US"/>
              </w:rPr>
              <w:t xml:space="preserve">A. </w:t>
            </w:r>
            <w:r w:rsidR="007257EE">
              <w:rPr>
                <w:lang w:val="en-US"/>
              </w:rPr>
              <w:t>General Trend since 2016</w:t>
            </w:r>
          </w:p>
        </w:tc>
        <w:tc>
          <w:tcPr>
            <w:tcW w:w="593" w:type="pct"/>
          </w:tcPr>
          <w:p w:rsidR="007461C8" w:rsidRDefault="007461C8">
            <w:pPr>
              <w:rPr>
                <w:lang w:val="en-US"/>
              </w:rPr>
            </w:pPr>
            <w:r>
              <w:rPr>
                <w:lang w:val="en-US"/>
              </w:rPr>
              <w:t>1. 1 Establishment of the office of the Auditor General mentioned in the Art.127 of the Constitution of Bangladesh</w:t>
            </w:r>
          </w:p>
          <w:p w:rsidR="00B91EB9" w:rsidRDefault="007461C8">
            <w:pPr>
              <w:rPr>
                <w:lang w:val="en-US"/>
              </w:rPr>
            </w:pPr>
            <w:r>
              <w:rPr>
                <w:lang w:val="en-US"/>
              </w:rPr>
              <w:t xml:space="preserve">1.2  Art.128(4) mentioned that Auditor General to exercise his functions under constitution shall not be subject to the direction or control of any other person or authority </w:t>
            </w:r>
          </w:p>
        </w:tc>
        <w:tc>
          <w:tcPr>
            <w:tcW w:w="509" w:type="pct"/>
          </w:tcPr>
          <w:p w:rsidR="00B91EB9" w:rsidRDefault="005E1B34">
            <w:pPr>
              <w:rPr>
                <w:lang w:val="en-US"/>
              </w:rPr>
            </w:pPr>
            <w:r>
              <w:rPr>
                <w:lang w:val="en-US"/>
              </w:rPr>
              <w:t>1.1 No specific qualification described in any legal documents for Head of SAI. But in practice he/she worked as civil servant.</w:t>
            </w:r>
          </w:p>
          <w:p w:rsidR="005E1B34" w:rsidRDefault="005E1B34">
            <w:pPr>
              <w:rPr>
                <w:lang w:val="en-US"/>
              </w:rPr>
            </w:pPr>
            <w:r>
              <w:rPr>
                <w:lang w:val="en-US"/>
              </w:rPr>
              <w:t xml:space="preserve">1.2 For other members, they are part of civil service recruited by the Public service commission. </w:t>
            </w:r>
          </w:p>
          <w:p w:rsidR="005E1B34" w:rsidRDefault="005E1B34">
            <w:pPr>
              <w:rPr>
                <w:lang w:val="en-US"/>
              </w:rPr>
            </w:pPr>
            <w:r>
              <w:rPr>
                <w:lang w:val="en-US"/>
              </w:rPr>
              <w:t xml:space="preserve">1.3 Lower Staffs are </w:t>
            </w:r>
            <w:r>
              <w:rPr>
                <w:lang w:val="en-US"/>
              </w:rPr>
              <w:lastRenderedPageBreak/>
              <w:t xml:space="preserve">recruited by OCAG  </w:t>
            </w:r>
          </w:p>
        </w:tc>
        <w:tc>
          <w:tcPr>
            <w:tcW w:w="492" w:type="pct"/>
          </w:tcPr>
          <w:p w:rsidR="00B91EB9" w:rsidRDefault="005E1B34">
            <w:pPr>
              <w:rPr>
                <w:lang w:val="en-US"/>
              </w:rPr>
            </w:pPr>
            <w:r>
              <w:rPr>
                <w:lang w:val="en-US"/>
              </w:rPr>
              <w:lastRenderedPageBreak/>
              <w:t xml:space="preserve">1.1 Functions of Auditor General mentioned in the Constitution of Bangladesh. Further elaborated in the Additional Functions Act 1974. </w:t>
            </w:r>
          </w:p>
        </w:tc>
        <w:tc>
          <w:tcPr>
            <w:tcW w:w="614" w:type="pct"/>
          </w:tcPr>
          <w:p w:rsidR="00B91EB9" w:rsidRDefault="005E1B34">
            <w:pPr>
              <w:rPr>
                <w:lang w:val="en-US"/>
              </w:rPr>
            </w:pPr>
            <w:r>
              <w:rPr>
                <w:lang w:val="en-US"/>
              </w:rPr>
              <w:t>1.1 In Art. 128(1) of the constitution and</w:t>
            </w:r>
            <w:r w:rsidR="00C222CD">
              <w:rPr>
                <w:lang w:val="en-US"/>
              </w:rPr>
              <w:t xml:space="preserve"> the section</w:t>
            </w:r>
            <w:r>
              <w:rPr>
                <w:lang w:val="en-US"/>
              </w:rPr>
              <w:t xml:space="preserve"> 5(1) of the additional functions act ensures access to information related for auditing. </w:t>
            </w:r>
          </w:p>
          <w:p w:rsidR="001B701C" w:rsidRDefault="00C222CD" w:rsidP="00C222CD">
            <w:pPr>
              <w:rPr>
                <w:lang w:val="en-US"/>
              </w:rPr>
            </w:pPr>
            <w:r>
              <w:rPr>
                <w:lang w:val="en-US"/>
              </w:rPr>
              <w:t>1.2 In section 10 of the Act</w:t>
            </w:r>
          </w:p>
          <w:p w:rsidR="001B701C" w:rsidRDefault="001B701C" w:rsidP="001B701C">
            <w:r>
              <w:rPr>
                <w:lang w:val="en-US"/>
              </w:rPr>
              <w:t>“</w:t>
            </w:r>
            <w:r>
              <w:rPr>
                <w:rFonts w:ascii="Verdana" w:hAnsi="Verdana"/>
                <w:color w:val="000000"/>
                <w:sz w:val="18"/>
                <w:szCs w:val="18"/>
                <w:shd w:val="clear" w:color="auto" w:fill="FFFFFF"/>
              </w:rPr>
              <w:t xml:space="preserve">The </w:t>
            </w:r>
            <w:proofErr w:type="spellStart"/>
            <w:r>
              <w:rPr>
                <w:rFonts w:ascii="Verdana" w:hAnsi="Verdana"/>
                <w:color w:val="000000"/>
                <w:sz w:val="18"/>
                <w:szCs w:val="18"/>
                <w:shd w:val="clear" w:color="auto" w:fill="FFFFFF"/>
              </w:rPr>
              <w:t>Government</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shall</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give</w:t>
            </w:r>
            <w:proofErr w:type="spellEnd"/>
            <w:r>
              <w:rPr>
                <w:rFonts w:ascii="Verdana" w:hAnsi="Verdana"/>
                <w:color w:val="000000"/>
                <w:sz w:val="18"/>
                <w:szCs w:val="18"/>
                <w:shd w:val="clear" w:color="auto" w:fill="FFFFFF"/>
              </w:rPr>
              <w:t xml:space="preserve"> the </w:t>
            </w:r>
            <w:proofErr w:type="spellStart"/>
            <w:r>
              <w:rPr>
                <w:rFonts w:ascii="Verdana" w:hAnsi="Verdana"/>
                <w:color w:val="000000"/>
                <w:sz w:val="18"/>
                <w:szCs w:val="18"/>
                <w:shd w:val="clear" w:color="auto" w:fill="FFFFFF"/>
              </w:rPr>
              <w:t>Auditor</w:t>
            </w:r>
            <w:proofErr w:type="spellEnd"/>
            <w:r>
              <w:rPr>
                <w:rFonts w:ascii="Verdana" w:hAnsi="Verdana"/>
                <w:color w:val="000000"/>
                <w:sz w:val="18"/>
                <w:szCs w:val="18"/>
                <w:shd w:val="clear" w:color="auto" w:fill="FFFFFF"/>
              </w:rPr>
              <w:t xml:space="preserve">-General </w:t>
            </w:r>
            <w:proofErr w:type="spellStart"/>
            <w:r>
              <w:rPr>
                <w:rFonts w:ascii="Verdana" w:hAnsi="Verdana"/>
                <w:color w:val="000000"/>
                <w:sz w:val="18"/>
                <w:szCs w:val="18"/>
                <w:shd w:val="clear" w:color="auto" w:fill="FFFFFF"/>
              </w:rPr>
              <w:t>such</w:t>
            </w:r>
            <w:proofErr w:type="spellEnd"/>
            <w:r>
              <w:rPr>
                <w:rFonts w:ascii="Verdana" w:hAnsi="Verdana"/>
                <w:color w:val="000000"/>
                <w:sz w:val="18"/>
                <w:szCs w:val="18"/>
                <w:shd w:val="clear" w:color="auto" w:fill="FFFFFF"/>
              </w:rPr>
              <w:t xml:space="preserve"> information as </w:t>
            </w:r>
            <w:proofErr w:type="spellStart"/>
            <w:r>
              <w:rPr>
                <w:rFonts w:ascii="Verdana" w:hAnsi="Verdana"/>
                <w:color w:val="000000"/>
                <w:sz w:val="18"/>
                <w:szCs w:val="18"/>
                <w:shd w:val="clear" w:color="auto" w:fill="FFFFFF"/>
              </w:rPr>
              <w:t>he</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may</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require</w:t>
            </w:r>
            <w:proofErr w:type="spellEnd"/>
            <w:r>
              <w:rPr>
                <w:rFonts w:ascii="Verdana" w:hAnsi="Verdana"/>
                <w:color w:val="000000"/>
                <w:sz w:val="18"/>
                <w:szCs w:val="18"/>
                <w:shd w:val="clear" w:color="auto" w:fill="FFFFFF"/>
              </w:rPr>
              <w:t xml:space="preserve"> for the </w:t>
            </w:r>
            <w:proofErr w:type="spellStart"/>
            <w:r>
              <w:rPr>
                <w:rFonts w:ascii="Verdana" w:hAnsi="Verdana"/>
                <w:color w:val="000000"/>
                <w:sz w:val="18"/>
                <w:szCs w:val="18"/>
                <w:shd w:val="clear" w:color="auto" w:fill="FFFFFF"/>
              </w:rPr>
              <w:t>preparation</w:t>
            </w:r>
            <w:proofErr w:type="spellEnd"/>
            <w:r>
              <w:rPr>
                <w:rFonts w:ascii="Verdana" w:hAnsi="Verdana"/>
                <w:color w:val="000000"/>
                <w:sz w:val="18"/>
                <w:szCs w:val="18"/>
                <w:shd w:val="clear" w:color="auto" w:fill="FFFFFF"/>
              </w:rPr>
              <w:t xml:space="preserve"> of </w:t>
            </w:r>
            <w:proofErr w:type="spellStart"/>
            <w:r>
              <w:rPr>
                <w:rFonts w:ascii="Verdana" w:hAnsi="Verdana"/>
                <w:color w:val="000000"/>
                <w:sz w:val="18"/>
                <w:szCs w:val="18"/>
                <w:shd w:val="clear" w:color="auto" w:fill="FFFFFF"/>
              </w:rPr>
              <w:t>any</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account</w:t>
            </w:r>
            <w:proofErr w:type="spellEnd"/>
            <w:r>
              <w:rPr>
                <w:rFonts w:ascii="Verdana" w:hAnsi="Verdana"/>
                <w:color w:val="000000"/>
                <w:sz w:val="18"/>
                <w:szCs w:val="18"/>
                <w:shd w:val="clear" w:color="auto" w:fill="FFFFFF"/>
              </w:rPr>
              <w:t xml:space="preserve"> or report </w:t>
            </w:r>
            <w:proofErr w:type="spellStart"/>
            <w:r>
              <w:rPr>
                <w:rFonts w:ascii="Verdana" w:hAnsi="Verdana"/>
                <w:color w:val="000000"/>
                <w:sz w:val="18"/>
                <w:szCs w:val="18"/>
                <w:shd w:val="clear" w:color="auto" w:fill="FFFFFF"/>
              </w:rPr>
              <w:lastRenderedPageBreak/>
              <w:t>which</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it</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is</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his</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duty</w:t>
            </w:r>
            <w:proofErr w:type="spellEnd"/>
            <w:r>
              <w:rPr>
                <w:rFonts w:ascii="Verdana" w:hAnsi="Verdana"/>
                <w:color w:val="000000"/>
                <w:sz w:val="18"/>
                <w:szCs w:val="18"/>
                <w:shd w:val="clear" w:color="auto" w:fill="FFFFFF"/>
              </w:rPr>
              <w:t xml:space="preserve"> to </w:t>
            </w:r>
            <w:proofErr w:type="spellStart"/>
            <w:r>
              <w:rPr>
                <w:rFonts w:ascii="Verdana" w:hAnsi="Verdana"/>
                <w:color w:val="000000"/>
                <w:sz w:val="18"/>
                <w:szCs w:val="18"/>
                <w:shd w:val="clear" w:color="auto" w:fill="FFFFFF"/>
              </w:rPr>
              <w:t>prepare</w:t>
            </w:r>
            <w:proofErr w:type="spellEnd"/>
            <w:r>
              <w:rPr>
                <w:rFonts w:ascii="Verdana" w:hAnsi="Verdana"/>
                <w:color w:val="000000"/>
                <w:sz w:val="18"/>
                <w:szCs w:val="18"/>
                <w:shd w:val="clear" w:color="auto" w:fill="FFFFFF"/>
              </w:rPr>
              <w:t>.”</w:t>
            </w:r>
          </w:p>
          <w:p w:rsidR="00C222CD" w:rsidRDefault="00C222CD" w:rsidP="00C222CD">
            <w:pPr>
              <w:rPr>
                <w:lang w:val="en-US"/>
              </w:rPr>
            </w:pPr>
            <w:r>
              <w:rPr>
                <w:rFonts w:ascii="Verdana" w:hAnsi="Verdana"/>
                <w:color w:val="000000"/>
                <w:sz w:val="18"/>
                <w:szCs w:val="18"/>
                <w:shd w:val="clear" w:color="auto" w:fill="FFFFFF"/>
              </w:rPr>
              <w:t> </w:t>
            </w:r>
          </w:p>
        </w:tc>
        <w:tc>
          <w:tcPr>
            <w:tcW w:w="525" w:type="pct"/>
          </w:tcPr>
          <w:p w:rsidR="00B91EB9" w:rsidRDefault="00C222CD">
            <w:pPr>
              <w:rPr>
                <w:lang w:val="en-US"/>
              </w:rPr>
            </w:pPr>
            <w:r>
              <w:rPr>
                <w:lang w:val="en-US"/>
              </w:rPr>
              <w:lastRenderedPageBreak/>
              <w:t>1.1 Art. 132 of the constitution mentioned that “The reports of the Auditor General relating to the public accounts of the Republic shall be submitted to the President who shall cause them to be laid before parliament.”</w:t>
            </w:r>
          </w:p>
          <w:p w:rsidR="00C222CD" w:rsidRDefault="00C222CD">
            <w:pPr>
              <w:rPr>
                <w:lang w:val="en-US"/>
              </w:rPr>
            </w:pPr>
            <w:r>
              <w:rPr>
                <w:lang w:val="en-US"/>
              </w:rPr>
              <w:t>1.2 Section 5</w:t>
            </w:r>
            <w:r w:rsidR="00143CF8">
              <w:rPr>
                <w:lang w:val="en-US"/>
              </w:rPr>
              <w:t xml:space="preserve">(1) stated Auditor </w:t>
            </w:r>
            <w:r w:rsidR="00143CF8">
              <w:rPr>
                <w:lang w:val="en-US"/>
              </w:rPr>
              <w:lastRenderedPageBreak/>
              <w:t xml:space="preserve">General </w:t>
            </w:r>
            <w:proofErr w:type="spellStart"/>
            <w:r w:rsidR="00143CF8">
              <w:rPr>
                <w:rFonts w:ascii="Verdana" w:hAnsi="Verdana"/>
                <w:color w:val="000000"/>
                <w:sz w:val="18"/>
                <w:szCs w:val="18"/>
                <w:shd w:val="clear" w:color="auto" w:fill="FFFFFF"/>
              </w:rPr>
              <w:t>shall</w:t>
            </w:r>
            <w:proofErr w:type="spellEnd"/>
            <w:r w:rsidR="00143CF8">
              <w:rPr>
                <w:rFonts w:ascii="Verdana" w:hAnsi="Verdana"/>
                <w:color w:val="000000"/>
                <w:sz w:val="18"/>
                <w:szCs w:val="18"/>
                <w:shd w:val="clear" w:color="auto" w:fill="FFFFFF"/>
              </w:rPr>
              <w:t xml:space="preserve"> </w:t>
            </w:r>
            <w:proofErr w:type="spellStart"/>
            <w:r w:rsidR="00143CF8">
              <w:rPr>
                <w:rFonts w:ascii="Verdana" w:hAnsi="Verdana"/>
                <w:color w:val="000000"/>
                <w:sz w:val="18"/>
                <w:szCs w:val="18"/>
                <w:shd w:val="clear" w:color="auto" w:fill="FFFFFF"/>
              </w:rPr>
              <w:t>submit</w:t>
            </w:r>
            <w:proofErr w:type="spellEnd"/>
            <w:r w:rsidR="00143CF8">
              <w:rPr>
                <w:rFonts w:ascii="Verdana" w:hAnsi="Verdana"/>
                <w:color w:val="000000"/>
                <w:sz w:val="18"/>
                <w:szCs w:val="18"/>
                <w:shd w:val="clear" w:color="auto" w:fill="FFFFFF"/>
              </w:rPr>
              <w:t xml:space="preserve"> </w:t>
            </w:r>
            <w:proofErr w:type="spellStart"/>
            <w:r w:rsidR="00143CF8">
              <w:rPr>
                <w:rFonts w:ascii="Verdana" w:hAnsi="Verdana"/>
                <w:color w:val="000000"/>
                <w:sz w:val="18"/>
                <w:szCs w:val="18"/>
                <w:shd w:val="clear" w:color="auto" w:fill="FFFFFF"/>
              </w:rPr>
              <w:t>his</w:t>
            </w:r>
            <w:proofErr w:type="spellEnd"/>
            <w:r w:rsidR="00143CF8">
              <w:rPr>
                <w:rFonts w:ascii="Verdana" w:hAnsi="Verdana"/>
                <w:color w:val="000000"/>
                <w:sz w:val="18"/>
                <w:szCs w:val="18"/>
                <w:shd w:val="clear" w:color="auto" w:fill="FFFFFF"/>
              </w:rPr>
              <w:t xml:space="preserve"> report on </w:t>
            </w:r>
            <w:proofErr w:type="spellStart"/>
            <w:r w:rsidR="00143CF8">
              <w:rPr>
                <w:rFonts w:ascii="Verdana" w:hAnsi="Verdana"/>
                <w:color w:val="000000"/>
                <w:sz w:val="18"/>
                <w:szCs w:val="18"/>
                <w:shd w:val="clear" w:color="auto" w:fill="FFFFFF"/>
              </w:rPr>
              <w:t>statutory</w:t>
            </w:r>
            <w:proofErr w:type="spellEnd"/>
            <w:r w:rsidR="00143CF8">
              <w:rPr>
                <w:rFonts w:ascii="Verdana" w:hAnsi="Verdana"/>
                <w:color w:val="000000"/>
                <w:sz w:val="18"/>
                <w:szCs w:val="18"/>
                <w:shd w:val="clear" w:color="auto" w:fill="FFFFFF"/>
              </w:rPr>
              <w:t xml:space="preserve"> public </w:t>
            </w:r>
            <w:proofErr w:type="spellStart"/>
            <w:r w:rsidR="00143CF8">
              <w:rPr>
                <w:rFonts w:ascii="Verdana" w:hAnsi="Verdana"/>
                <w:color w:val="000000"/>
                <w:sz w:val="18"/>
                <w:szCs w:val="18"/>
                <w:shd w:val="clear" w:color="auto" w:fill="FFFFFF"/>
              </w:rPr>
              <w:t>authorities</w:t>
            </w:r>
            <w:proofErr w:type="spellEnd"/>
            <w:r w:rsidR="00143CF8">
              <w:rPr>
                <w:rFonts w:ascii="Verdana" w:hAnsi="Verdana"/>
                <w:color w:val="000000"/>
                <w:sz w:val="18"/>
                <w:szCs w:val="18"/>
                <w:shd w:val="clear" w:color="auto" w:fill="FFFFFF"/>
              </w:rPr>
              <w:t xml:space="preserve">, public </w:t>
            </w:r>
            <w:proofErr w:type="spellStart"/>
            <w:r w:rsidR="00143CF8">
              <w:rPr>
                <w:rFonts w:ascii="Verdana" w:hAnsi="Verdana"/>
                <w:color w:val="000000"/>
                <w:sz w:val="18"/>
                <w:szCs w:val="18"/>
                <w:shd w:val="clear" w:color="auto" w:fill="FFFFFF"/>
              </w:rPr>
              <w:t>enterprises</w:t>
            </w:r>
            <w:proofErr w:type="spellEnd"/>
            <w:r w:rsidR="00143CF8">
              <w:rPr>
                <w:rFonts w:ascii="Verdana" w:hAnsi="Verdana"/>
                <w:color w:val="000000"/>
                <w:sz w:val="18"/>
                <w:szCs w:val="18"/>
                <w:shd w:val="clear" w:color="auto" w:fill="FFFFFF"/>
              </w:rPr>
              <w:t xml:space="preserve"> and local </w:t>
            </w:r>
            <w:proofErr w:type="spellStart"/>
            <w:r w:rsidR="00091B52">
              <w:rPr>
                <w:rFonts w:ascii="Verdana" w:hAnsi="Verdana"/>
                <w:color w:val="000000"/>
                <w:sz w:val="18"/>
                <w:szCs w:val="18"/>
                <w:shd w:val="clear" w:color="auto" w:fill="FFFFFF"/>
              </w:rPr>
              <w:t>authorities</w:t>
            </w:r>
            <w:proofErr w:type="spellEnd"/>
            <w:r w:rsidR="00091B52">
              <w:rPr>
                <w:rFonts w:ascii="Verdana" w:hAnsi="Verdana"/>
                <w:color w:val="000000"/>
                <w:sz w:val="18"/>
                <w:szCs w:val="18"/>
                <w:shd w:val="clear" w:color="auto" w:fill="FFFFFF"/>
              </w:rPr>
              <w:t xml:space="preserve"> audit</w:t>
            </w:r>
            <w:r w:rsidR="00143CF8">
              <w:rPr>
                <w:rFonts w:ascii="Verdana" w:hAnsi="Verdana"/>
                <w:color w:val="000000"/>
                <w:sz w:val="18"/>
                <w:szCs w:val="18"/>
                <w:shd w:val="clear" w:color="auto" w:fill="FFFFFF"/>
              </w:rPr>
              <w:t xml:space="preserve"> to the </w:t>
            </w:r>
            <w:proofErr w:type="spellStart"/>
            <w:r w:rsidR="00143CF8">
              <w:rPr>
                <w:rFonts w:ascii="Verdana" w:hAnsi="Verdana"/>
                <w:color w:val="000000"/>
                <w:sz w:val="18"/>
                <w:szCs w:val="18"/>
                <w:shd w:val="clear" w:color="auto" w:fill="FFFFFF"/>
              </w:rPr>
              <w:t>Presiden</w:t>
            </w:r>
            <w:r w:rsidR="00091B52">
              <w:rPr>
                <w:rFonts w:ascii="Verdana" w:hAnsi="Verdana"/>
                <w:color w:val="000000"/>
                <w:sz w:val="18"/>
                <w:szCs w:val="18"/>
                <w:shd w:val="clear" w:color="auto" w:fill="FFFFFF"/>
              </w:rPr>
              <w:t>t</w:t>
            </w:r>
            <w:proofErr w:type="spellEnd"/>
            <w:r w:rsidR="00143CF8">
              <w:rPr>
                <w:rFonts w:ascii="Verdana" w:hAnsi="Verdana"/>
                <w:color w:val="000000"/>
                <w:sz w:val="18"/>
                <w:szCs w:val="18"/>
                <w:shd w:val="clear" w:color="auto" w:fill="FFFFFF"/>
              </w:rPr>
              <w:t xml:space="preserve"> for </w:t>
            </w:r>
            <w:proofErr w:type="spellStart"/>
            <w:r w:rsidR="00143CF8">
              <w:rPr>
                <w:rFonts w:ascii="Verdana" w:hAnsi="Verdana"/>
                <w:color w:val="000000"/>
                <w:sz w:val="18"/>
                <w:szCs w:val="18"/>
                <w:shd w:val="clear" w:color="auto" w:fill="FFFFFF"/>
              </w:rPr>
              <w:t>laying</w:t>
            </w:r>
            <w:proofErr w:type="spellEnd"/>
            <w:r w:rsidR="00143CF8">
              <w:rPr>
                <w:rFonts w:ascii="Verdana" w:hAnsi="Verdana"/>
                <w:color w:val="000000"/>
                <w:sz w:val="18"/>
                <w:szCs w:val="18"/>
                <w:shd w:val="clear" w:color="auto" w:fill="FFFFFF"/>
              </w:rPr>
              <w:t xml:space="preserve"> </w:t>
            </w:r>
            <w:proofErr w:type="spellStart"/>
            <w:r w:rsidR="00143CF8">
              <w:rPr>
                <w:rFonts w:ascii="Verdana" w:hAnsi="Verdana"/>
                <w:color w:val="000000"/>
                <w:sz w:val="18"/>
                <w:szCs w:val="18"/>
                <w:shd w:val="clear" w:color="auto" w:fill="FFFFFF"/>
              </w:rPr>
              <w:t>i</w:t>
            </w:r>
            <w:r w:rsidR="00537CDD">
              <w:rPr>
                <w:rFonts w:ascii="Verdana" w:hAnsi="Verdana"/>
                <w:color w:val="000000"/>
                <w:sz w:val="18"/>
                <w:szCs w:val="18"/>
                <w:shd w:val="clear" w:color="auto" w:fill="FFFFFF"/>
              </w:rPr>
              <w:t>t</w:t>
            </w:r>
            <w:proofErr w:type="spellEnd"/>
            <w:r w:rsidR="00537CDD">
              <w:rPr>
                <w:rFonts w:ascii="Verdana" w:hAnsi="Verdana"/>
                <w:color w:val="000000"/>
                <w:sz w:val="18"/>
                <w:szCs w:val="18"/>
                <w:shd w:val="clear" w:color="auto" w:fill="FFFFFF"/>
              </w:rPr>
              <w:t xml:space="preserve"> </w:t>
            </w:r>
            <w:proofErr w:type="spellStart"/>
            <w:r w:rsidR="00143CF8">
              <w:rPr>
                <w:rFonts w:ascii="Verdana" w:hAnsi="Verdana"/>
                <w:color w:val="000000"/>
                <w:sz w:val="18"/>
                <w:szCs w:val="18"/>
                <w:shd w:val="clear" w:color="auto" w:fill="FFFFFF"/>
              </w:rPr>
              <w:t>before</w:t>
            </w:r>
            <w:proofErr w:type="spellEnd"/>
            <w:r w:rsidR="00143CF8">
              <w:rPr>
                <w:rFonts w:ascii="Verdana" w:hAnsi="Verdana"/>
                <w:color w:val="000000"/>
                <w:sz w:val="18"/>
                <w:szCs w:val="18"/>
                <w:shd w:val="clear" w:color="auto" w:fill="FFFFFF"/>
              </w:rPr>
              <w:t xml:space="preserve"> </w:t>
            </w:r>
            <w:proofErr w:type="spellStart"/>
            <w:r w:rsidR="00143CF8">
              <w:rPr>
                <w:rFonts w:ascii="Verdana" w:hAnsi="Verdana"/>
                <w:color w:val="000000"/>
                <w:sz w:val="18"/>
                <w:szCs w:val="18"/>
                <w:shd w:val="clear" w:color="auto" w:fill="FFFFFF"/>
              </w:rPr>
              <w:t>Parliament</w:t>
            </w:r>
            <w:proofErr w:type="spellEnd"/>
            <w:r w:rsidR="00143CF8">
              <w:rPr>
                <w:rFonts w:ascii="Verdana" w:hAnsi="Verdana"/>
                <w:color w:val="000000"/>
                <w:sz w:val="18"/>
                <w:szCs w:val="18"/>
                <w:shd w:val="clear" w:color="auto" w:fill="FFFFFF"/>
              </w:rPr>
              <w:t xml:space="preserve">. </w:t>
            </w:r>
          </w:p>
        </w:tc>
        <w:tc>
          <w:tcPr>
            <w:tcW w:w="584" w:type="pct"/>
          </w:tcPr>
          <w:p w:rsidR="00B91EB9" w:rsidRDefault="001E4E39">
            <w:pPr>
              <w:rPr>
                <w:lang w:val="en-US"/>
              </w:rPr>
            </w:pPr>
            <w:r>
              <w:rPr>
                <w:lang w:val="en-US"/>
              </w:rPr>
              <w:lastRenderedPageBreak/>
              <w:t xml:space="preserve">There is </w:t>
            </w:r>
            <w:r w:rsidR="00777DFD">
              <w:rPr>
                <w:lang w:val="en-US"/>
              </w:rPr>
              <w:t>no provision</w:t>
            </w:r>
            <w:r w:rsidR="00684128">
              <w:rPr>
                <w:lang w:val="en-US"/>
              </w:rPr>
              <w:t xml:space="preserve"> to </w:t>
            </w:r>
            <w:r w:rsidR="00777DFD">
              <w:rPr>
                <w:lang w:val="en-US"/>
              </w:rPr>
              <w:t xml:space="preserve">publish annual </w:t>
            </w:r>
            <w:r>
              <w:rPr>
                <w:lang w:val="en-US"/>
              </w:rPr>
              <w:t>report</w:t>
            </w:r>
            <w:r w:rsidR="00777DFD">
              <w:rPr>
                <w:lang w:val="en-US"/>
              </w:rPr>
              <w:t xml:space="preserve"> for Auditor General. Only the audit reports he prepared and submitted to the President. </w:t>
            </w:r>
          </w:p>
        </w:tc>
        <w:tc>
          <w:tcPr>
            <w:tcW w:w="115" w:type="pct"/>
          </w:tcPr>
          <w:p w:rsidR="00B91EB9" w:rsidRDefault="00777DFD" w:rsidP="00777DFD">
            <w:pPr>
              <w:rPr>
                <w:lang w:val="en-US"/>
              </w:rPr>
            </w:pPr>
            <w:r>
              <w:rPr>
                <w:lang w:val="en-US"/>
              </w:rPr>
              <w:t xml:space="preserve">As per constitutional provision and from the act’s   any kind of Audit can be done by the Auditor General  </w:t>
            </w:r>
          </w:p>
        </w:tc>
        <w:tc>
          <w:tcPr>
            <w:tcW w:w="899" w:type="pct"/>
          </w:tcPr>
          <w:p w:rsidR="00777DFD" w:rsidRDefault="00777DFD">
            <w:pPr>
              <w:rPr>
                <w:lang w:val="en-US"/>
              </w:rPr>
            </w:pPr>
            <w:r>
              <w:rPr>
                <w:lang w:val="en-US"/>
              </w:rPr>
              <w:t xml:space="preserve">Budget of the Auditor General mentioned as charged expenditure. No one control the access of the SAI to his budget. The approval process of the </w:t>
            </w:r>
            <w:proofErr w:type="gramStart"/>
            <w:r>
              <w:rPr>
                <w:lang w:val="en-US"/>
              </w:rPr>
              <w:t>budget  is</w:t>
            </w:r>
            <w:proofErr w:type="gramEnd"/>
            <w:r>
              <w:rPr>
                <w:lang w:val="en-US"/>
              </w:rPr>
              <w:t xml:space="preserve"> the same as the other organs of the country. </w:t>
            </w:r>
          </w:p>
          <w:p w:rsidR="00B91EB9" w:rsidRDefault="00777DFD">
            <w:pPr>
              <w:rPr>
                <w:lang w:val="en-US"/>
              </w:rPr>
            </w:pPr>
            <w:r>
              <w:rPr>
                <w:lang w:val="en-US"/>
              </w:rPr>
              <w:t xml:space="preserve"> </w:t>
            </w:r>
          </w:p>
        </w:tc>
      </w:tr>
      <w:tr w:rsidR="00D30A46" w:rsidRPr="00952D3A" w:rsidTr="00952D3A">
        <w:tc>
          <w:tcPr>
            <w:tcW w:w="667" w:type="pct"/>
          </w:tcPr>
          <w:p w:rsidR="00B91EB9" w:rsidRDefault="00794356" w:rsidP="00FC3D1E">
            <w:pPr>
              <w:rPr>
                <w:lang w:val="en-US"/>
              </w:rPr>
            </w:pPr>
            <w:r>
              <w:rPr>
                <w:lang w:val="en-US"/>
              </w:rPr>
              <w:lastRenderedPageBreak/>
              <w:t>B. Norms</w:t>
            </w:r>
            <w:r w:rsidR="00456ED1">
              <w:rPr>
                <w:lang w:val="en-US"/>
              </w:rPr>
              <w:t xml:space="preserve"> or limitation</w:t>
            </w:r>
            <w:r>
              <w:rPr>
                <w:lang w:val="en-US"/>
              </w:rPr>
              <w:t xml:space="preserve"> challenge</w:t>
            </w:r>
            <w:r w:rsidR="00456ED1">
              <w:rPr>
                <w:lang w:val="en-US"/>
              </w:rPr>
              <w:t>s</w:t>
            </w:r>
          </w:p>
        </w:tc>
        <w:tc>
          <w:tcPr>
            <w:tcW w:w="593" w:type="pct"/>
          </w:tcPr>
          <w:p w:rsidR="00B91EB9" w:rsidRDefault="00777DFD" w:rsidP="00091B52">
            <w:pPr>
              <w:rPr>
                <w:lang w:val="en-US"/>
              </w:rPr>
            </w:pPr>
            <w:r>
              <w:rPr>
                <w:lang w:val="en-US"/>
              </w:rPr>
              <w:t xml:space="preserve"> </w:t>
            </w:r>
          </w:p>
        </w:tc>
        <w:tc>
          <w:tcPr>
            <w:tcW w:w="509" w:type="pct"/>
          </w:tcPr>
          <w:p w:rsidR="00B91EB9" w:rsidRDefault="00091B52">
            <w:pPr>
              <w:rPr>
                <w:lang w:val="en-US"/>
              </w:rPr>
            </w:pPr>
            <w:bookmarkStart w:id="0" w:name="_GoBack"/>
            <w:bookmarkEnd w:id="0"/>
            <w:r>
              <w:rPr>
                <w:lang w:val="en-US"/>
              </w:rPr>
              <w:t>Selection process of the Auditor General is not transparent.</w:t>
            </w:r>
          </w:p>
          <w:p w:rsidR="005E3392" w:rsidRDefault="005E3392">
            <w:pPr>
              <w:rPr>
                <w:lang w:val="en-US"/>
              </w:rPr>
            </w:pPr>
            <w:r>
              <w:rPr>
                <w:lang w:val="en-US"/>
              </w:rPr>
              <w:t xml:space="preserve">Other members are civil servant </w:t>
            </w:r>
          </w:p>
        </w:tc>
        <w:tc>
          <w:tcPr>
            <w:tcW w:w="492" w:type="pct"/>
          </w:tcPr>
          <w:p w:rsidR="00B91EB9" w:rsidRDefault="00D8037A" w:rsidP="00D8037A">
            <w:pPr>
              <w:rPr>
                <w:lang w:val="en-US"/>
              </w:rPr>
            </w:pPr>
            <w:r>
              <w:rPr>
                <w:lang w:val="en-US"/>
              </w:rPr>
              <w:t xml:space="preserve">Mandate is very broad </w:t>
            </w:r>
          </w:p>
        </w:tc>
        <w:tc>
          <w:tcPr>
            <w:tcW w:w="614" w:type="pct"/>
          </w:tcPr>
          <w:p w:rsidR="00B91EB9" w:rsidRDefault="00D8037A">
            <w:pPr>
              <w:rPr>
                <w:lang w:val="en-US"/>
              </w:rPr>
            </w:pPr>
            <w:r>
              <w:rPr>
                <w:lang w:val="en-US"/>
              </w:rPr>
              <w:t xml:space="preserve">Sometimes audit of revenue is questioned by the audit because of different explanation of constitutional provisions.  </w:t>
            </w:r>
          </w:p>
        </w:tc>
        <w:tc>
          <w:tcPr>
            <w:tcW w:w="525" w:type="pct"/>
          </w:tcPr>
          <w:p w:rsidR="00B91EB9" w:rsidRDefault="00D8037A" w:rsidP="00D30A46">
            <w:pPr>
              <w:rPr>
                <w:lang w:val="en-US"/>
              </w:rPr>
            </w:pPr>
            <w:r>
              <w:rPr>
                <w:lang w:val="en-US"/>
              </w:rPr>
              <w:t>In ca</w:t>
            </w:r>
            <w:r w:rsidR="00D30A46">
              <w:rPr>
                <w:lang w:val="en-US"/>
              </w:rPr>
              <w:t>se of revenue audit information are mostly</w:t>
            </w:r>
            <w:r>
              <w:rPr>
                <w:lang w:val="en-US"/>
              </w:rPr>
              <w:t xml:space="preserve"> </w:t>
            </w:r>
            <w:r w:rsidR="00D30A46">
              <w:rPr>
                <w:lang w:val="en-US"/>
              </w:rPr>
              <w:t>unavailable due to verdict of court</w:t>
            </w:r>
          </w:p>
        </w:tc>
        <w:tc>
          <w:tcPr>
            <w:tcW w:w="584" w:type="pct"/>
          </w:tcPr>
          <w:p w:rsidR="00B91EB9" w:rsidRDefault="00B91EB9">
            <w:pPr>
              <w:rPr>
                <w:lang w:val="en-US"/>
              </w:rPr>
            </w:pPr>
          </w:p>
        </w:tc>
        <w:tc>
          <w:tcPr>
            <w:tcW w:w="115" w:type="pct"/>
          </w:tcPr>
          <w:p w:rsidR="00B91EB9" w:rsidRDefault="00B91EB9">
            <w:pPr>
              <w:rPr>
                <w:lang w:val="en-US"/>
              </w:rPr>
            </w:pPr>
          </w:p>
        </w:tc>
        <w:tc>
          <w:tcPr>
            <w:tcW w:w="899" w:type="pct"/>
          </w:tcPr>
          <w:p w:rsidR="00B91EB9" w:rsidRDefault="00B91EB9">
            <w:pPr>
              <w:rPr>
                <w:lang w:val="en-US"/>
              </w:rPr>
            </w:pPr>
          </w:p>
        </w:tc>
      </w:tr>
      <w:tr w:rsidR="00D30A46" w:rsidRPr="00952D3A" w:rsidTr="00952D3A">
        <w:tc>
          <w:tcPr>
            <w:tcW w:w="667" w:type="pct"/>
          </w:tcPr>
          <w:p w:rsidR="00794356" w:rsidRDefault="00794356" w:rsidP="00794356">
            <w:pPr>
              <w:rPr>
                <w:lang w:val="en-US"/>
              </w:rPr>
            </w:pPr>
            <w:r>
              <w:rPr>
                <w:lang w:val="en-US"/>
              </w:rPr>
              <w:t xml:space="preserve">C. Level of </w:t>
            </w:r>
            <w:r w:rsidR="00456ED1">
              <w:rPr>
                <w:lang w:val="en-US"/>
              </w:rPr>
              <w:t xml:space="preserve">existing </w:t>
            </w:r>
            <w:r>
              <w:rPr>
                <w:lang w:val="en-US"/>
              </w:rPr>
              <w:t>risks</w:t>
            </w:r>
          </w:p>
        </w:tc>
        <w:tc>
          <w:tcPr>
            <w:tcW w:w="593" w:type="pct"/>
          </w:tcPr>
          <w:p w:rsidR="00794356" w:rsidRDefault="00794356" w:rsidP="00794356">
            <w:pPr>
              <w:rPr>
                <w:lang w:val="en-US"/>
              </w:rPr>
            </w:pPr>
          </w:p>
        </w:tc>
        <w:tc>
          <w:tcPr>
            <w:tcW w:w="509" w:type="pct"/>
          </w:tcPr>
          <w:p w:rsidR="00794356" w:rsidRDefault="00794356" w:rsidP="00794356">
            <w:pPr>
              <w:rPr>
                <w:lang w:val="en-US"/>
              </w:rPr>
            </w:pPr>
          </w:p>
        </w:tc>
        <w:tc>
          <w:tcPr>
            <w:tcW w:w="492" w:type="pct"/>
          </w:tcPr>
          <w:p w:rsidR="00794356" w:rsidRDefault="000B74B4" w:rsidP="00794356">
            <w:pPr>
              <w:rPr>
                <w:lang w:val="en-US"/>
              </w:rPr>
            </w:pPr>
            <w:r>
              <w:rPr>
                <w:lang w:val="en-US"/>
              </w:rPr>
              <w:t>In case of revenue audit information are mostly unavailable due to verdict of court</w:t>
            </w:r>
          </w:p>
        </w:tc>
        <w:tc>
          <w:tcPr>
            <w:tcW w:w="614" w:type="pct"/>
          </w:tcPr>
          <w:p w:rsidR="00794356" w:rsidRDefault="00794356" w:rsidP="00794356">
            <w:pPr>
              <w:rPr>
                <w:lang w:val="en-US"/>
              </w:rPr>
            </w:pPr>
          </w:p>
        </w:tc>
        <w:tc>
          <w:tcPr>
            <w:tcW w:w="525" w:type="pct"/>
          </w:tcPr>
          <w:p w:rsidR="00794356" w:rsidRDefault="00794356" w:rsidP="00794356">
            <w:pPr>
              <w:rPr>
                <w:lang w:val="en-US"/>
              </w:rPr>
            </w:pPr>
          </w:p>
        </w:tc>
        <w:tc>
          <w:tcPr>
            <w:tcW w:w="584" w:type="pct"/>
          </w:tcPr>
          <w:p w:rsidR="00794356" w:rsidRDefault="00794356" w:rsidP="00794356">
            <w:pPr>
              <w:rPr>
                <w:lang w:val="en-US"/>
              </w:rPr>
            </w:pPr>
          </w:p>
        </w:tc>
        <w:tc>
          <w:tcPr>
            <w:tcW w:w="115" w:type="pct"/>
          </w:tcPr>
          <w:p w:rsidR="00794356" w:rsidRDefault="00794356" w:rsidP="00794356">
            <w:pPr>
              <w:rPr>
                <w:lang w:val="en-US"/>
              </w:rPr>
            </w:pPr>
          </w:p>
        </w:tc>
        <w:tc>
          <w:tcPr>
            <w:tcW w:w="899" w:type="pct"/>
          </w:tcPr>
          <w:p w:rsidR="00794356" w:rsidRDefault="00794356" w:rsidP="00794356">
            <w:pPr>
              <w:rPr>
                <w:lang w:val="en-US"/>
              </w:rPr>
            </w:pPr>
          </w:p>
        </w:tc>
      </w:tr>
      <w:tr w:rsidR="00D30A46" w:rsidTr="00952D3A">
        <w:tc>
          <w:tcPr>
            <w:tcW w:w="667" w:type="pct"/>
          </w:tcPr>
          <w:p w:rsidR="00794356" w:rsidRDefault="00456ED1" w:rsidP="00794356">
            <w:pPr>
              <w:rPr>
                <w:lang w:val="en-US"/>
              </w:rPr>
            </w:pPr>
            <w:r>
              <w:rPr>
                <w:lang w:val="en-US"/>
              </w:rPr>
              <w:t>D. Mitigation Actions</w:t>
            </w:r>
          </w:p>
        </w:tc>
        <w:tc>
          <w:tcPr>
            <w:tcW w:w="593" w:type="pct"/>
          </w:tcPr>
          <w:p w:rsidR="00794356" w:rsidRDefault="00794356" w:rsidP="00794356">
            <w:pPr>
              <w:rPr>
                <w:lang w:val="en-US"/>
              </w:rPr>
            </w:pPr>
          </w:p>
        </w:tc>
        <w:tc>
          <w:tcPr>
            <w:tcW w:w="509" w:type="pct"/>
          </w:tcPr>
          <w:p w:rsidR="00794356" w:rsidRDefault="00794356" w:rsidP="00794356">
            <w:pPr>
              <w:rPr>
                <w:lang w:val="en-US"/>
              </w:rPr>
            </w:pPr>
          </w:p>
        </w:tc>
        <w:tc>
          <w:tcPr>
            <w:tcW w:w="492" w:type="pct"/>
          </w:tcPr>
          <w:p w:rsidR="00794356" w:rsidRDefault="000B74B4" w:rsidP="00794356">
            <w:pPr>
              <w:rPr>
                <w:lang w:val="en-US"/>
              </w:rPr>
            </w:pPr>
            <w:r>
              <w:rPr>
                <w:lang w:val="en-US"/>
              </w:rPr>
              <w:t xml:space="preserve">Planning </w:t>
            </w:r>
            <w:proofErr w:type="gramStart"/>
            <w:r>
              <w:rPr>
                <w:lang w:val="en-US"/>
              </w:rPr>
              <w:t>to  go</w:t>
            </w:r>
            <w:proofErr w:type="gramEnd"/>
            <w:r>
              <w:rPr>
                <w:lang w:val="en-US"/>
              </w:rPr>
              <w:t xml:space="preserve"> to court </w:t>
            </w:r>
            <w:r>
              <w:rPr>
                <w:lang w:val="en-US"/>
              </w:rPr>
              <w:lastRenderedPageBreak/>
              <w:t xml:space="preserve">to ensure the revenue audit part. </w:t>
            </w:r>
          </w:p>
        </w:tc>
        <w:tc>
          <w:tcPr>
            <w:tcW w:w="614" w:type="pct"/>
          </w:tcPr>
          <w:p w:rsidR="00794356" w:rsidRDefault="00794356" w:rsidP="00794356">
            <w:pPr>
              <w:rPr>
                <w:lang w:val="en-US"/>
              </w:rPr>
            </w:pPr>
          </w:p>
        </w:tc>
        <w:tc>
          <w:tcPr>
            <w:tcW w:w="525" w:type="pct"/>
          </w:tcPr>
          <w:p w:rsidR="00794356" w:rsidRDefault="00794356" w:rsidP="00794356">
            <w:pPr>
              <w:rPr>
                <w:lang w:val="en-US"/>
              </w:rPr>
            </w:pPr>
          </w:p>
        </w:tc>
        <w:tc>
          <w:tcPr>
            <w:tcW w:w="584" w:type="pct"/>
          </w:tcPr>
          <w:p w:rsidR="00794356" w:rsidRDefault="00794356" w:rsidP="00794356">
            <w:pPr>
              <w:rPr>
                <w:lang w:val="en-US"/>
              </w:rPr>
            </w:pPr>
          </w:p>
        </w:tc>
        <w:tc>
          <w:tcPr>
            <w:tcW w:w="115" w:type="pct"/>
          </w:tcPr>
          <w:p w:rsidR="00794356" w:rsidRDefault="00794356" w:rsidP="00794356">
            <w:pPr>
              <w:rPr>
                <w:lang w:val="en-US"/>
              </w:rPr>
            </w:pPr>
          </w:p>
        </w:tc>
        <w:tc>
          <w:tcPr>
            <w:tcW w:w="899" w:type="pct"/>
          </w:tcPr>
          <w:p w:rsidR="00794356" w:rsidRDefault="00794356" w:rsidP="00794356">
            <w:pPr>
              <w:rPr>
                <w:lang w:val="en-US"/>
              </w:rPr>
            </w:pPr>
          </w:p>
        </w:tc>
      </w:tr>
      <w:tr w:rsidR="00D30A46" w:rsidRPr="00456ED1" w:rsidTr="00952D3A">
        <w:tc>
          <w:tcPr>
            <w:tcW w:w="667" w:type="pct"/>
          </w:tcPr>
          <w:p w:rsidR="00456ED1" w:rsidRDefault="00456ED1" w:rsidP="00456ED1">
            <w:pPr>
              <w:rPr>
                <w:lang w:val="en-US"/>
              </w:rPr>
            </w:pPr>
            <w:r>
              <w:rPr>
                <w:lang w:val="en-US"/>
              </w:rPr>
              <w:lastRenderedPageBreak/>
              <w:t>E. Level of competition</w:t>
            </w:r>
          </w:p>
        </w:tc>
        <w:tc>
          <w:tcPr>
            <w:tcW w:w="593" w:type="pct"/>
          </w:tcPr>
          <w:p w:rsidR="00456ED1" w:rsidRDefault="005E3392" w:rsidP="00D30A46">
            <w:pPr>
              <w:rPr>
                <w:lang w:val="en-US"/>
              </w:rPr>
            </w:pPr>
            <w:r>
              <w:rPr>
                <w:lang w:val="en-US"/>
              </w:rPr>
              <w:t xml:space="preserve">Other accountability organization like Anti Corruption </w:t>
            </w:r>
            <w:r w:rsidR="00D30A46">
              <w:rPr>
                <w:lang w:val="en-US"/>
              </w:rPr>
              <w:t>Commission is more actively present in media</w:t>
            </w:r>
            <w:r w:rsidR="00D8037A">
              <w:rPr>
                <w:lang w:val="en-US"/>
              </w:rPr>
              <w:t xml:space="preserve">. </w:t>
            </w:r>
          </w:p>
        </w:tc>
        <w:tc>
          <w:tcPr>
            <w:tcW w:w="509" w:type="pct"/>
          </w:tcPr>
          <w:p w:rsidR="00456ED1" w:rsidRDefault="00456ED1" w:rsidP="00456ED1">
            <w:pPr>
              <w:rPr>
                <w:lang w:val="en-US"/>
              </w:rPr>
            </w:pPr>
          </w:p>
        </w:tc>
        <w:tc>
          <w:tcPr>
            <w:tcW w:w="492" w:type="pct"/>
          </w:tcPr>
          <w:p w:rsidR="00456ED1" w:rsidRDefault="00456ED1" w:rsidP="00456ED1">
            <w:pPr>
              <w:rPr>
                <w:lang w:val="en-US"/>
              </w:rPr>
            </w:pPr>
          </w:p>
        </w:tc>
        <w:tc>
          <w:tcPr>
            <w:tcW w:w="614" w:type="pct"/>
          </w:tcPr>
          <w:p w:rsidR="00456ED1" w:rsidRDefault="00456ED1" w:rsidP="00456ED1">
            <w:pPr>
              <w:rPr>
                <w:lang w:val="en-US"/>
              </w:rPr>
            </w:pPr>
          </w:p>
        </w:tc>
        <w:tc>
          <w:tcPr>
            <w:tcW w:w="525" w:type="pct"/>
          </w:tcPr>
          <w:p w:rsidR="00456ED1" w:rsidRDefault="00456ED1" w:rsidP="00456ED1">
            <w:pPr>
              <w:rPr>
                <w:lang w:val="en-US"/>
              </w:rPr>
            </w:pPr>
          </w:p>
        </w:tc>
        <w:tc>
          <w:tcPr>
            <w:tcW w:w="584" w:type="pct"/>
          </w:tcPr>
          <w:p w:rsidR="00456ED1" w:rsidRDefault="00456ED1" w:rsidP="00456ED1">
            <w:pPr>
              <w:rPr>
                <w:lang w:val="en-US"/>
              </w:rPr>
            </w:pPr>
          </w:p>
        </w:tc>
        <w:tc>
          <w:tcPr>
            <w:tcW w:w="115" w:type="pct"/>
          </w:tcPr>
          <w:p w:rsidR="00456ED1" w:rsidRDefault="00456ED1" w:rsidP="00456ED1">
            <w:pPr>
              <w:rPr>
                <w:lang w:val="en-US"/>
              </w:rPr>
            </w:pPr>
          </w:p>
        </w:tc>
        <w:tc>
          <w:tcPr>
            <w:tcW w:w="899" w:type="pct"/>
          </w:tcPr>
          <w:p w:rsidR="00456ED1" w:rsidRDefault="00456ED1" w:rsidP="00456ED1">
            <w:pPr>
              <w:rPr>
                <w:lang w:val="en-US"/>
              </w:rPr>
            </w:pPr>
          </w:p>
        </w:tc>
      </w:tr>
      <w:tr w:rsidR="00D30A46" w:rsidRPr="00952D3A" w:rsidTr="00952D3A">
        <w:tc>
          <w:tcPr>
            <w:tcW w:w="667" w:type="pct"/>
          </w:tcPr>
          <w:p w:rsidR="00456ED1" w:rsidRDefault="00456ED1" w:rsidP="00456ED1">
            <w:pPr>
              <w:rPr>
                <w:lang w:val="en-US"/>
              </w:rPr>
            </w:pPr>
            <w:r>
              <w:rPr>
                <w:lang w:val="en-US"/>
              </w:rPr>
              <w:t>F. Level of public attention</w:t>
            </w:r>
          </w:p>
        </w:tc>
        <w:tc>
          <w:tcPr>
            <w:tcW w:w="593" w:type="pct"/>
          </w:tcPr>
          <w:p w:rsidR="00456ED1" w:rsidRDefault="00FC0D23" w:rsidP="00FC0D23">
            <w:pPr>
              <w:rPr>
                <w:lang w:val="en-US"/>
              </w:rPr>
            </w:pPr>
            <w:r>
              <w:rPr>
                <w:lang w:val="en-US"/>
              </w:rPr>
              <w:t xml:space="preserve">Existence of auditor general and his activity usually felt by the </w:t>
            </w:r>
            <w:proofErr w:type="spellStart"/>
            <w:r>
              <w:rPr>
                <w:lang w:val="en-US"/>
              </w:rPr>
              <w:t>auditee</w:t>
            </w:r>
            <w:proofErr w:type="spellEnd"/>
            <w:r>
              <w:rPr>
                <w:lang w:val="en-US"/>
              </w:rPr>
              <w:t>.</w:t>
            </w:r>
          </w:p>
        </w:tc>
        <w:tc>
          <w:tcPr>
            <w:tcW w:w="509" w:type="pct"/>
          </w:tcPr>
          <w:p w:rsidR="00456ED1" w:rsidRDefault="00FC0D23" w:rsidP="00FC0D23">
            <w:pPr>
              <w:rPr>
                <w:lang w:val="en-US"/>
              </w:rPr>
            </w:pPr>
            <w:r>
              <w:rPr>
                <w:lang w:val="en-US"/>
              </w:rPr>
              <w:t xml:space="preserve">General </w:t>
            </w:r>
            <w:r w:rsidR="005E3392">
              <w:rPr>
                <w:lang w:val="en-US"/>
              </w:rPr>
              <w:t>P</w:t>
            </w:r>
            <w:r>
              <w:rPr>
                <w:lang w:val="en-US"/>
              </w:rPr>
              <w:t>eoples</w:t>
            </w:r>
            <w:r w:rsidR="005E3392">
              <w:rPr>
                <w:lang w:val="en-US"/>
              </w:rPr>
              <w:t xml:space="preserve"> are not aware on the activity of the Auditor General.</w:t>
            </w:r>
          </w:p>
        </w:tc>
        <w:tc>
          <w:tcPr>
            <w:tcW w:w="492" w:type="pct"/>
          </w:tcPr>
          <w:p w:rsidR="00456ED1" w:rsidRDefault="00FC0D23" w:rsidP="000B74B4">
            <w:pPr>
              <w:rPr>
                <w:lang w:val="en-US"/>
              </w:rPr>
            </w:pPr>
            <w:r>
              <w:rPr>
                <w:lang w:val="en-US"/>
              </w:rPr>
              <w:t>People have</w:t>
            </w:r>
            <w:r w:rsidR="005E3392">
              <w:rPr>
                <w:lang w:val="en-US"/>
              </w:rPr>
              <w:t xml:space="preserve"> the access t</w:t>
            </w:r>
            <w:r w:rsidR="00D8037A">
              <w:rPr>
                <w:lang w:val="en-US"/>
              </w:rPr>
              <w:t>o see the final audit reports.</w:t>
            </w:r>
          </w:p>
          <w:p w:rsidR="00BE2978" w:rsidRDefault="00BE2978" w:rsidP="000B74B4">
            <w:pPr>
              <w:rPr>
                <w:lang w:val="en-US"/>
              </w:rPr>
            </w:pPr>
          </w:p>
        </w:tc>
        <w:tc>
          <w:tcPr>
            <w:tcW w:w="614" w:type="pct"/>
          </w:tcPr>
          <w:p w:rsidR="00456ED1" w:rsidRDefault="00456ED1" w:rsidP="00456ED1">
            <w:pPr>
              <w:rPr>
                <w:lang w:val="en-US"/>
              </w:rPr>
            </w:pPr>
          </w:p>
        </w:tc>
        <w:tc>
          <w:tcPr>
            <w:tcW w:w="525" w:type="pct"/>
          </w:tcPr>
          <w:p w:rsidR="00456ED1" w:rsidRDefault="00456ED1" w:rsidP="00456ED1">
            <w:pPr>
              <w:rPr>
                <w:lang w:val="en-US"/>
              </w:rPr>
            </w:pPr>
          </w:p>
        </w:tc>
        <w:tc>
          <w:tcPr>
            <w:tcW w:w="584" w:type="pct"/>
          </w:tcPr>
          <w:p w:rsidR="00456ED1" w:rsidRDefault="00456ED1" w:rsidP="00456ED1">
            <w:pPr>
              <w:rPr>
                <w:lang w:val="en-US"/>
              </w:rPr>
            </w:pPr>
          </w:p>
        </w:tc>
        <w:tc>
          <w:tcPr>
            <w:tcW w:w="115" w:type="pct"/>
          </w:tcPr>
          <w:p w:rsidR="00456ED1" w:rsidRDefault="00456ED1" w:rsidP="00456ED1">
            <w:pPr>
              <w:rPr>
                <w:lang w:val="en-US"/>
              </w:rPr>
            </w:pPr>
          </w:p>
        </w:tc>
        <w:tc>
          <w:tcPr>
            <w:tcW w:w="899" w:type="pct"/>
          </w:tcPr>
          <w:p w:rsidR="00456ED1" w:rsidRDefault="00456ED1" w:rsidP="00456ED1">
            <w:pPr>
              <w:rPr>
                <w:lang w:val="en-US"/>
              </w:rPr>
            </w:pPr>
          </w:p>
        </w:tc>
      </w:tr>
    </w:tbl>
    <w:p w:rsidR="002B5004" w:rsidRPr="002B5004" w:rsidRDefault="00952D3A">
      <w:pPr>
        <w:rPr>
          <w:color w:val="00B0F0"/>
          <w:lang w:val="en-US"/>
        </w:rPr>
      </w:pPr>
      <w:r>
        <w:rPr>
          <w:color w:val="00B050"/>
          <w:lang w:val="en-US"/>
        </w:rPr>
        <w:tab/>
      </w:r>
    </w:p>
    <w:p w:rsidR="00B91EB9" w:rsidRDefault="00794356">
      <w:pPr>
        <w:rPr>
          <w:lang w:val="en-US"/>
        </w:rPr>
      </w:pPr>
      <w:r>
        <w:rPr>
          <w:lang w:val="en-US"/>
        </w:rPr>
        <w:t xml:space="preserve">A. </w:t>
      </w:r>
      <w:r w:rsidRPr="007257EE">
        <w:rPr>
          <w:u w:val="single"/>
          <w:lang w:val="en-US"/>
        </w:rPr>
        <w:t xml:space="preserve">General </w:t>
      </w:r>
      <w:r w:rsidR="00456ED1" w:rsidRPr="007257EE">
        <w:rPr>
          <w:u w:val="single"/>
          <w:lang w:val="en-US"/>
        </w:rPr>
        <w:t xml:space="preserve">trend </w:t>
      </w:r>
      <w:r w:rsidR="007257EE">
        <w:rPr>
          <w:u w:val="single"/>
          <w:lang w:val="en-US"/>
        </w:rPr>
        <w:t>since 2016</w:t>
      </w:r>
      <w:r>
        <w:rPr>
          <w:lang w:val="en-US"/>
        </w:rPr>
        <w:t xml:space="preserve">: describe the evolution of your </w:t>
      </w:r>
      <w:r w:rsidR="00334B49">
        <w:rPr>
          <w:lang w:val="en-US"/>
        </w:rPr>
        <w:t>SAI</w:t>
      </w:r>
      <w:r>
        <w:rPr>
          <w:lang w:val="en-US"/>
        </w:rPr>
        <w:t xml:space="preserve"> </w:t>
      </w:r>
      <w:r w:rsidR="007257EE">
        <w:rPr>
          <w:lang w:val="en-US"/>
        </w:rPr>
        <w:t xml:space="preserve">since 2016 </w:t>
      </w:r>
      <w:r>
        <w:rPr>
          <w:lang w:val="en-US"/>
        </w:rPr>
        <w:t>according to the Mexico principles</w:t>
      </w:r>
    </w:p>
    <w:p w:rsidR="00794356" w:rsidRDefault="00794356">
      <w:pPr>
        <w:rPr>
          <w:lang w:val="en-US"/>
        </w:rPr>
      </w:pPr>
      <w:r>
        <w:rPr>
          <w:lang w:val="en-US"/>
        </w:rPr>
        <w:t xml:space="preserve">B. </w:t>
      </w:r>
      <w:r w:rsidRPr="007257EE">
        <w:rPr>
          <w:u w:val="single"/>
          <w:lang w:val="en-US"/>
        </w:rPr>
        <w:t xml:space="preserve">Norms </w:t>
      </w:r>
      <w:r w:rsidR="00456ED1" w:rsidRPr="007257EE">
        <w:rPr>
          <w:u w:val="single"/>
          <w:lang w:val="en-US"/>
        </w:rPr>
        <w:t xml:space="preserve">or limitations </w:t>
      </w:r>
      <w:r w:rsidRPr="007257EE">
        <w:rPr>
          <w:u w:val="single"/>
          <w:lang w:val="en-US"/>
        </w:rPr>
        <w:t>challenge</w:t>
      </w:r>
      <w:r w:rsidR="00456ED1" w:rsidRPr="007257EE">
        <w:rPr>
          <w:u w:val="single"/>
          <w:lang w:val="en-US"/>
        </w:rPr>
        <w:t>s</w:t>
      </w:r>
      <w:r>
        <w:rPr>
          <w:lang w:val="en-US"/>
        </w:rPr>
        <w:t>: describe the statutory position and recent evolution of this position</w:t>
      </w:r>
      <w:r w:rsidR="00456ED1">
        <w:rPr>
          <w:lang w:val="en-US"/>
        </w:rPr>
        <w:t xml:space="preserve"> regarding your institutional framework</w:t>
      </w:r>
    </w:p>
    <w:p w:rsidR="00794356" w:rsidRDefault="00794356">
      <w:pPr>
        <w:rPr>
          <w:lang w:val="en-US"/>
        </w:rPr>
      </w:pPr>
      <w:r>
        <w:rPr>
          <w:lang w:val="en-US"/>
        </w:rPr>
        <w:t xml:space="preserve">C. </w:t>
      </w:r>
      <w:r w:rsidRPr="007257EE">
        <w:rPr>
          <w:u w:val="single"/>
          <w:lang w:val="en-US"/>
        </w:rPr>
        <w:t xml:space="preserve">Level of </w:t>
      </w:r>
      <w:r w:rsidR="00456ED1" w:rsidRPr="007257EE">
        <w:rPr>
          <w:u w:val="single"/>
          <w:lang w:val="en-US"/>
        </w:rPr>
        <w:t xml:space="preserve">existing </w:t>
      </w:r>
      <w:r w:rsidRPr="007257EE">
        <w:rPr>
          <w:u w:val="single"/>
          <w:lang w:val="en-US"/>
        </w:rPr>
        <w:t>risks</w:t>
      </w:r>
      <w:r>
        <w:rPr>
          <w:lang w:val="en-US"/>
        </w:rPr>
        <w:t xml:space="preserve">: assess the main risks related to </w:t>
      </w:r>
      <w:r w:rsidR="00456ED1">
        <w:rPr>
          <w:lang w:val="en-US"/>
        </w:rPr>
        <w:t xml:space="preserve">the </w:t>
      </w:r>
      <w:r>
        <w:rPr>
          <w:lang w:val="en-US"/>
        </w:rPr>
        <w:t>independence</w:t>
      </w:r>
      <w:r w:rsidR="00456ED1">
        <w:rPr>
          <w:lang w:val="en-US"/>
        </w:rPr>
        <w:t xml:space="preserve"> of your </w:t>
      </w:r>
      <w:r w:rsidR="00334B49">
        <w:rPr>
          <w:lang w:val="en-US"/>
        </w:rPr>
        <w:t>SAI</w:t>
      </w:r>
    </w:p>
    <w:p w:rsidR="00456ED1" w:rsidRDefault="00456ED1">
      <w:pPr>
        <w:rPr>
          <w:lang w:val="en-US"/>
        </w:rPr>
      </w:pPr>
      <w:r>
        <w:rPr>
          <w:lang w:val="en-US"/>
        </w:rPr>
        <w:t xml:space="preserve">D. </w:t>
      </w:r>
      <w:r w:rsidRPr="007257EE">
        <w:rPr>
          <w:u w:val="single"/>
          <w:lang w:val="en-US"/>
        </w:rPr>
        <w:t>Mitigation Actions</w:t>
      </w:r>
      <w:r>
        <w:rPr>
          <w:lang w:val="en-US"/>
        </w:rPr>
        <w:t xml:space="preserve">: describe the actions planned or carried out by your </w:t>
      </w:r>
      <w:r w:rsidR="00334B49">
        <w:rPr>
          <w:lang w:val="en-US"/>
        </w:rPr>
        <w:t>SAI</w:t>
      </w:r>
      <w:r>
        <w:rPr>
          <w:lang w:val="en-US"/>
        </w:rPr>
        <w:t xml:space="preserve"> to strengthen its independence</w:t>
      </w:r>
    </w:p>
    <w:p w:rsidR="00794356" w:rsidRDefault="00456ED1">
      <w:pPr>
        <w:rPr>
          <w:lang w:val="en-US"/>
        </w:rPr>
      </w:pPr>
      <w:r>
        <w:rPr>
          <w:lang w:val="en-US"/>
        </w:rPr>
        <w:t>E</w:t>
      </w:r>
      <w:r w:rsidR="00794356">
        <w:rPr>
          <w:lang w:val="en-US"/>
        </w:rPr>
        <w:t xml:space="preserve">. </w:t>
      </w:r>
      <w:r w:rsidR="00794356" w:rsidRPr="007257EE">
        <w:rPr>
          <w:u w:val="single"/>
          <w:lang w:val="en-US"/>
        </w:rPr>
        <w:t>Level of competition</w:t>
      </w:r>
      <w:r w:rsidR="00794356">
        <w:rPr>
          <w:lang w:val="en-US"/>
        </w:rPr>
        <w:t>: describe the existence of competing private or public organizations in your country</w:t>
      </w:r>
      <w:r w:rsidR="00015B31">
        <w:rPr>
          <w:lang w:val="en-US"/>
        </w:rPr>
        <w:t xml:space="preserve"> threatening or challenging your SAI independence</w:t>
      </w:r>
    </w:p>
    <w:p w:rsidR="004E444D" w:rsidRDefault="00456ED1">
      <w:pPr>
        <w:rPr>
          <w:lang w:val="en-US"/>
        </w:rPr>
      </w:pPr>
      <w:r>
        <w:rPr>
          <w:lang w:val="en-US"/>
        </w:rPr>
        <w:t>F</w:t>
      </w:r>
      <w:r w:rsidR="00794356">
        <w:rPr>
          <w:lang w:val="en-US"/>
        </w:rPr>
        <w:t xml:space="preserve">. </w:t>
      </w:r>
      <w:r w:rsidR="00794356" w:rsidRPr="007257EE">
        <w:rPr>
          <w:u w:val="single"/>
          <w:lang w:val="en-US"/>
        </w:rPr>
        <w:t>Level of public attention</w:t>
      </w:r>
      <w:r w:rsidR="00794356">
        <w:rPr>
          <w:lang w:val="en-US"/>
        </w:rPr>
        <w:t xml:space="preserve">: describe the </w:t>
      </w:r>
      <w:r w:rsidR="007257EE">
        <w:rPr>
          <w:lang w:val="en-US"/>
        </w:rPr>
        <w:t xml:space="preserve">level or quality of </w:t>
      </w:r>
      <w:r w:rsidR="00794356">
        <w:rPr>
          <w:lang w:val="en-US"/>
        </w:rPr>
        <w:t xml:space="preserve">public </w:t>
      </w:r>
      <w:r w:rsidR="007257EE">
        <w:rPr>
          <w:lang w:val="en-US"/>
        </w:rPr>
        <w:t xml:space="preserve">attention and </w:t>
      </w:r>
      <w:r w:rsidR="00794356">
        <w:rPr>
          <w:lang w:val="en-US"/>
        </w:rPr>
        <w:t xml:space="preserve">support of your </w:t>
      </w:r>
      <w:r w:rsidR="003868E7">
        <w:rPr>
          <w:lang w:val="en-US"/>
        </w:rPr>
        <w:t>SAI</w:t>
      </w:r>
      <w:r w:rsidR="00015B31">
        <w:rPr>
          <w:lang w:val="en-US"/>
        </w:rPr>
        <w:t>.</w:t>
      </w:r>
      <w:r w:rsidR="004E444D">
        <w:rPr>
          <w:lang w:val="en-US"/>
        </w:rPr>
        <w:br w:type="page"/>
      </w:r>
    </w:p>
    <w:p w:rsidR="00952D3A" w:rsidRDefault="00952D3A" w:rsidP="004E444D">
      <w:pPr>
        <w:rPr>
          <w:b/>
          <w:u w:val="single"/>
          <w:lang w:val="en-US"/>
        </w:rPr>
      </w:pPr>
      <w:r>
        <w:rPr>
          <w:b/>
          <w:u w:val="single"/>
          <w:lang w:val="en-US"/>
        </w:rPr>
        <w:lastRenderedPageBreak/>
        <w:t>Annex</w:t>
      </w:r>
    </w:p>
    <w:p w:rsidR="004E444D" w:rsidRPr="00952D3A" w:rsidRDefault="004E444D" w:rsidP="004E444D">
      <w:pPr>
        <w:rPr>
          <w:b/>
          <w:lang w:val="en-US"/>
        </w:rPr>
      </w:pPr>
      <w:r w:rsidRPr="00952D3A">
        <w:rPr>
          <w:b/>
          <w:u w:val="single"/>
          <w:lang w:val="en-US"/>
        </w:rPr>
        <w:t xml:space="preserve">Purpose: to </w:t>
      </w:r>
      <w:r w:rsidR="0026472D" w:rsidRPr="00952D3A">
        <w:rPr>
          <w:b/>
          <w:u w:val="single"/>
          <w:lang w:val="en-US"/>
        </w:rPr>
        <w:t>clarify the scope of the</w:t>
      </w:r>
      <w:r w:rsidR="00334B49" w:rsidRPr="00952D3A">
        <w:rPr>
          <w:b/>
          <w:u w:val="single"/>
          <w:lang w:val="en-US"/>
        </w:rPr>
        <w:t xml:space="preserve"> 8 core</w:t>
      </w:r>
      <w:r w:rsidR="0026472D" w:rsidRPr="00952D3A">
        <w:rPr>
          <w:b/>
          <w:u w:val="single"/>
          <w:lang w:val="en-US"/>
        </w:rPr>
        <w:t xml:space="preserve"> principles</w:t>
      </w:r>
      <w:r w:rsidR="00334B49" w:rsidRPr="00952D3A">
        <w:rPr>
          <w:b/>
          <w:u w:val="single"/>
          <w:lang w:val="en-US"/>
        </w:rPr>
        <w:t xml:space="preserve"> of the Mexico Declaration on SAI independence</w:t>
      </w:r>
      <w:r w:rsidRPr="00952D3A">
        <w:rPr>
          <w:b/>
          <w:u w:val="single"/>
          <w:lang w:val="en-US"/>
        </w:rPr>
        <w:t>.</w:t>
      </w:r>
    </w:p>
    <w:tbl>
      <w:tblPr>
        <w:tblStyle w:val="TableGrid"/>
        <w:tblW w:w="5000" w:type="pct"/>
        <w:tblLook w:val="04A0"/>
      </w:tblPr>
      <w:tblGrid>
        <w:gridCol w:w="1279"/>
        <w:gridCol w:w="1569"/>
        <w:gridCol w:w="1637"/>
        <w:gridCol w:w="1493"/>
        <w:gridCol w:w="1565"/>
        <w:gridCol w:w="1313"/>
        <w:gridCol w:w="1477"/>
        <w:gridCol w:w="1702"/>
        <w:gridCol w:w="2185"/>
      </w:tblGrid>
      <w:tr w:rsidR="00952D3A" w:rsidRPr="0026472D" w:rsidTr="00952D3A">
        <w:trPr>
          <w:trHeight w:val="509"/>
        </w:trPr>
        <w:tc>
          <w:tcPr>
            <w:tcW w:w="480" w:type="pct"/>
            <w:vMerge w:val="restart"/>
          </w:tcPr>
          <w:p w:rsidR="00952D3A" w:rsidRPr="00952D3A" w:rsidRDefault="00952D3A" w:rsidP="00952D3A">
            <w:pPr>
              <w:jc w:val="center"/>
              <w:rPr>
                <w:b/>
                <w:sz w:val="20"/>
                <w:szCs w:val="20"/>
                <w:lang w:val="en-US"/>
              </w:rPr>
            </w:pPr>
            <w:r w:rsidRPr="00952D3A">
              <w:rPr>
                <w:b/>
                <w:i/>
                <w:sz w:val="20"/>
                <w:szCs w:val="20"/>
                <w:lang w:val="en-US"/>
              </w:rPr>
              <w:t>Mexico Declaration</w:t>
            </w:r>
            <w:r w:rsidRPr="00952D3A">
              <w:rPr>
                <w:b/>
                <w:sz w:val="20"/>
                <w:szCs w:val="20"/>
                <w:lang w:val="en-US"/>
              </w:rPr>
              <w:t xml:space="preserve"> Principles /</w:t>
            </w:r>
          </w:p>
          <w:p w:rsidR="00952D3A" w:rsidRPr="0026472D" w:rsidRDefault="00952D3A" w:rsidP="00952D3A">
            <w:pPr>
              <w:jc w:val="center"/>
              <w:rPr>
                <w:b/>
                <w:sz w:val="20"/>
                <w:szCs w:val="20"/>
                <w:lang w:val="en-US"/>
              </w:rPr>
            </w:pPr>
            <w:r w:rsidRPr="00952D3A">
              <w:rPr>
                <w:b/>
                <w:sz w:val="20"/>
                <w:szCs w:val="20"/>
                <w:lang w:val="en-US"/>
              </w:rPr>
              <w:t>Dimensions</w:t>
            </w:r>
          </w:p>
        </w:tc>
        <w:tc>
          <w:tcPr>
            <w:tcW w:w="1188" w:type="pct"/>
            <w:gridSpan w:val="2"/>
          </w:tcPr>
          <w:p w:rsidR="00952D3A" w:rsidRPr="0026472D" w:rsidRDefault="00952D3A" w:rsidP="00952D3A">
            <w:pPr>
              <w:jc w:val="center"/>
              <w:rPr>
                <w:b/>
                <w:color w:val="00B050"/>
                <w:sz w:val="20"/>
                <w:szCs w:val="20"/>
                <w:lang w:val="en-US"/>
              </w:rPr>
            </w:pPr>
            <w:r w:rsidRPr="00952D3A">
              <w:rPr>
                <w:b/>
                <w:color w:val="00B050"/>
                <w:lang w:val="en-US"/>
              </w:rPr>
              <w:t>Organizational independence</w:t>
            </w:r>
          </w:p>
        </w:tc>
        <w:tc>
          <w:tcPr>
            <w:tcW w:w="2534" w:type="pct"/>
            <w:gridSpan w:val="5"/>
          </w:tcPr>
          <w:p w:rsidR="00952D3A" w:rsidRPr="0026472D" w:rsidRDefault="00952D3A" w:rsidP="00952D3A">
            <w:pPr>
              <w:jc w:val="center"/>
              <w:rPr>
                <w:b/>
                <w:color w:val="FF0000"/>
                <w:sz w:val="20"/>
                <w:szCs w:val="20"/>
                <w:lang w:val="en-US"/>
              </w:rPr>
            </w:pPr>
            <w:r w:rsidRPr="00952D3A">
              <w:rPr>
                <w:b/>
                <w:color w:val="FF0000"/>
                <w:lang w:val="en-US"/>
              </w:rPr>
              <w:t>Functional Independence</w:t>
            </w:r>
          </w:p>
        </w:tc>
        <w:tc>
          <w:tcPr>
            <w:tcW w:w="798" w:type="pct"/>
          </w:tcPr>
          <w:p w:rsidR="00952D3A" w:rsidRPr="0026472D" w:rsidRDefault="00952D3A" w:rsidP="00952D3A">
            <w:pPr>
              <w:jc w:val="center"/>
              <w:rPr>
                <w:b/>
                <w:color w:val="00B0F0"/>
                <w:sz w:val="20"/>
                <w:szCs w:val="20"/>
                <w:lang w:val="en-US"/>
              </w:rPr>
            </w:pPr>
            <w:r w:rsidRPr="00952D3A">
              <w:rPr>
                <w:b/>
                <w:color w:val="00B0F0"/>
                <w:lang w:val="en-US"/>
              </w:rPr>
              <w:t>Financial Independence</w:t>
            </w:r>
          </w:p>
        </w:tc>
      </w:tr>
      <w:tr w:rsidR="00952D3A" w:rsidRPr="0026472D" w:rsidTr="00952D3A">
        <w:tc>
          <w:tcPr>
            <w:tcW w:w="480" w:type="pct"/>
            <w:vMerge/>
          </w:tcPr>
          <w:p w:rsidR="00952D3A" w:rsidRPr="0026472D" w:rsidRDefault="00952D3A" w:rsidP="00952D3A">
            <w:pPr>
              <w:jc w:val="center"/>
              <w:rPr>
                <w:b/>
                <w:sz w:val="20"/>
                <w:szCs w:val="20"/>
                <w:lang w:val="en-US"/>
              </w:rPr>
            </w:pPr>
          </w:p>
        </w:tc>
        <w:tc>
          <w:tcPr>
            <w:tcW w:w="582" w:type="pct"/>
          </w:tcPr>
          <w:p w:rsidR="00952D3A" w:rsidRPr="00952D3A" w:rsidRDefault="00952D3A" w:rsidP="00952D3A">
            <w:pPr>
              <w:jc w:val="center"/>
              <w:rPr>
                <w:sz w:val="20"/>
                <w:szCs w:val="20"/>
                <w:lang w:val="en-US"/>
              </w:rPr>
            </w:pPr>
            <w:r w:rsidRPr="00952D3A">
              <w:rPr>
                <w:color w:val="00B050"/>
                <w:sz w:val="20"/>
                <w:szCs w:val="20"/>
                <w:lang w:val="en-US"/>
              </w:rPr>
              <w:t>1 Statutory Framework</w:t>
            </w:r>
          </w:p>
        </w:tc>
        <w:tc>
          <w:tcPr>
            <w:tcW w:w="606" w:type="pct"/>
          </w:tcPr>
          <w:p w:rsidR="00952D3A" w:rsidRPr="00952D3A" w:rsidRDefault="00952D3A" w:rsidP="00952D3A">
            <w:pPr>
              <w:jc w:val="center"/>
              <w:rPr>
                <w:sz w:val="20"/>
                <w:szCs w:val="20"/>
                <w:lang w:val="en-US"/>
              </w:rPr>
            </w:pPr>
            <w:r w:rsidRPr="00952D3A">
              <w:rPr>
                <w:color w:val="00B050"/>
                <w:sz w:val="20"/>
                <w:szCs w:val="20"/>
                <w:lang w:val="en-US"/>
              </w:rPr>
              <w:t>2 Heads and members</w:t>
            </w:r>
          </w:p>
        </w:tc>
        <w:tc>
          <w:tcPr>
            <w:tcW w:w="555" w:type="pct"/>
          </w:tcPr>
          <w:p w:rsidR="00952D3A" w:rsidRPr="00952D3A" w:rsidRDefault="00952D3A" w:rsidP="00952D3A">
            <w:pPr>
              <w:jc w:val="center"/>
              <w:rPr>
                <w:sz w:val="20"/>
                <w:szCs w:val="20"/>
                <w:lang w:val="en-US"/>
              </w:rPr>
            </w:pPr>
            <w:r w:rsidRPr="00952D3A">
              <w:rPr>
                <w:color w:val="FF0000"/>
                <w:sz w:val="20"/>
                <w:szCs w:val="20"/>
                <w:lang w:val="en-US"/>
              </w:rPr>
              <w:t>3 Mandate</w:t>
            </w:r>
          </w:p>
        </w:tc>
        <w:tc>
          <w:tcPr>
            <w:tcW w:w="580" w:type="pct"/>
          </w:tcPr>
          <w:p w:rsidR="00952D3A" w:rsidRPr="00952D3A" w:rsidRDefault="00952D3A" w:rsidP="00952D3A">
            <w:pPr>
              <w:jc w:val="center"/>
              <w:rPr>
                <w:sz w:val="20"/>
                <w:szCs w:val="20"/>
                <w:lang w:val="en-US"/>
              </w:rPr>
            </w:pPr>
            <w:r w:rsidRPr="00952D3A">
              <w:rPr>
                <w:color w:val="FF0000"/>
                <w:sz w:val="20"/>
                <w:szCs w:val="20"/>
                <w:lang w:val="en-US"/>
              </w:rPr>
              <w:t>4 Access to information</w:t>
            </w:r>
          </w:p>
        </w:tc>
        <w:tc>
          <w:tcPr>
            <w:tcW w:w="491" w:type="pct"/>
          </w:tcPr>
          <w:p w:rsidR="00952D3A" w:rsidRPr="00952D3A" w:rsidRDefault="00952D3A" w:rsidP="00952D3A">
            <w:pPr>
              <w:jc w:val="center"/>
              <w:rPr>
                <w:sz w:val="20"/>
                <w:szCs w:val="20"/>
                <w:lang w:val="en-US"/>
              </w:rPr>
            </w:pPr>
            <w:r w:rsidRPr="00952D3A">
              <w:rPr>
                <w:color w:val="FF0000"/>
                <w:sz w:val="20"/>
                <w:szCs w:val="20"/>
                <w:lang w:val="en-US"/>
              </w:rPr>
              <w:t>5 Reporting</w:t>
            </w:r>
          </w:p>
        </w:tc>
        <w:tc>
          <w:tcPr>
            <w:tcW w:w="550" w:type="pct"/>
          </w:tcPr>
          <w:p w:rsidR="00952D3A" w:rsidRPr="00952D3A" w:rsidRDefault="00952D3A" w:rsidP="00952D3A">
            <w:pPr>
              <w:jc w:val="center"/>
              <w:rPr>
                <w:sz w:val="20"/>
                <w:szCs w:val="20"/>
                <w:lang w:val="en-US"/>
              </w:rPr>
            </w:pPr>
            <w:r w:rsidRPr="00952D3A">
              <w:rPr>
                <w:color w:val="FF0000"/>
                <w:sz w:val="20"/>
                <w:szCs w:val="20"/>
                <w:lang w:val="en-US"/>
              </w:rPr>
              <w:t>6 Content and publication</w:t>
            </w:r>
          </w:p>
        </w:tc>
        <w:tc>
          <w:tcPr>
            <w:tcW w:w="358" w:type="pct"/>
          </w:tcPr>
          <w:p w:rsidR="00952D3A" w:rsidRPr="00952D3A" w:rsidRDefault="00952D3A" w:rsidP="00952D3A">
            <w:pPr>
              <w:jc w:val="center"/>
              <w:rPr>
                <w:sz w:val="20"/>
                <w:szCs w:val="20"/>
                <w:lang w:val="en-US"/>
              </w:rPr>
            </w:pPr>
            <w:r w:rsidRPr="00952D3A">
              <w:rPr>
                <w:color w:val="FF0000"/>
                <w:sz w:val="20"/>
                <w:szCs w:val="20"/>
                <w:lang w:val="en-US"/>
              </w:rPr>
              <w:t>7 Follow-up</w:t>
            </w:r>
          </w:p>
        </w:tc>
        <w:tc>
          <w:tcPr>
            <w:tcW w:w="798" w:type="pct"/>
          </w:tcPr>
          <w:p w:rsidR="00952D3A" w:rsidRPr="00952D3A" w:rsidRDefault="00952D3A" w:rsidP="00952D3A">
            <w:pPr>
              <w:jc w:val="center"/>
              <w:rPr>
                <w:sz w:val="20"/>
                <w:szCs w:val="20"/>
                <w:lang w:val="en-US"/>
              </w:rPr>
            </w:pPr>
            <w:r w:rsidRPr="00952D3A">
              <w:rPr>
                <w:color w:val="00B0F0"/>
                <w:sz w:val="20"/>
                <w:szCs w:val="20"/>
                <w:lang w:val="en-US"/>
              </w:rPr>
              <w:t>8 Financial and managerial autonomy</w:t>
            </w:r>
          </w:p>
        </w:tc>
      </w:tr>
      <w:tr w:rsidR="00952D3A" w:rsidRPr="00952D3A" w:rsidTr="00952D3A">
        <w:tc>
          <w:tcPr>
            <w:tcW w:w="480" w:type="pct"/>
            <w:vMerge w:val="restart"/>
            <w:shd w:val="clear" w:color="auto" w:fill="F2F2F2" w:themeFill="background1" w:themeFillShade="F2"/>
          </w:tcPr>
          <w:p w:rsidR="00952D3A" w:rsidRPr="0026472D" w:rsidRDefault="00952D3A" w:rsidP="00952D3A">
            <w:pPr>
              <w:rPr>
                <w:sz w:val="20"/>
                <w:szCs w:val="20"/>
                <w:lang w:val="en-US"/>
              </w:rPr>
            </w:pPr>
          </w:p>
        </w:tc>
        <w:tc>
          <w:tcPr>
            <w:tcW w:w="582" w:type="pct"/>
          </w:tcPr>
          <w:p w:rsidR="00952D3A" w:rsidRPr="0026472D" w:rsidRDefault="00952D3A" w:rsidP="00952D3A">
            <w:pPr>
              <w:rPr>
                <w:sz w:val="20"/>
                <w:szCs w:val="20"/>
                <w:lang w:val="en-US"/>
              </w:rPr>
            </w:pPr>
            <w:r w:rsidRPr="0026472D">
              <w:rPr>
                <w:sz w:val="20"/>
                <w:szCs w:val="20"/>
                <w:lang w:val="en-US"/>
              </w:rPr>
              <w:t xml:space="preserve">1.1 </w:t>
            </w:r>
            <w:r>
              <w:rPr>
                <w:sz w:val="20"/>
                <w:szCs w:val="20"/>
                <w:lang w:val="en-US"/>
              </w:rPr>
              <w:t>Mention of the SAI’s e</w:t>
            </w:r>
            <w:r w:rsidRPr="0026472D">
              <w:rPr>
                <w:sz w:val="20"/>
                <w:szCs w:val="20"/>
                <w:lang w:val="en-US"/>
              </w:rPr>
              <w:t>xistence in the highest legal norm</w:t>
            </w:r>
            <w:r>
              <w:rPr>
                <w:sz w:val="20"/>
                <w:szCs w:val="20"/>
                <w:lang w:val="en-US"/>
              </w:rPr>
              <w:t xml:space="preserve"> (Constitution, …)</w:t>
            </w:r>
          </w:p>
        </w:tc>
        <w:tc>
          <w:tcPr>
            <w:tcW w:w="606" w:type="pct"/>
          </w:tcPr>
          <w:p w:rsidR="00952D3A" w:rsidRPr="0026472D" w:rsidRDefault="00952D3A" w:rsidP="00952D3A">
            <w:pPr>
              <w:rPr>
                <w:sz w:val="20"/>
                <w:szCs w:val="20"/>
                <w:lang w:val="en-US"/>
              </w:rPr>
            </w:pPr>
            <w:r w:rsidRPr="0026472D">
              <w:rPr>
                <w:sz w:val="20"/>
                <w:szCs w:val="20"/>
                <w:lang w:val="en-US"/>
              </w:rPr>
              <w:t xml:space="preserve">2.1. Nomination of the head on the basis of a professional and transparent selection process </w:t>
            </w:r>
          </w:p>
        </w:tc>
        <w:tc>
          <w:tcPr>
            <w:tcW w:w="555" w:type="pct"/>
          </w:tcPr>
          <w:p w:rsidR="00952D3A" w:rsidRPr="0026472D" w:rsidRDefault="00952D3A" w:rsidP="00952D3A">
            <w:pPr>
              <w:rPr>
                <w:sz w:val="20"/>
                <w:szCs w:val="20"/>
                <w:lang w:val="en-US"/>
              </w:rPr>
            </w:pPr>
            <w:r w:rsidRPr="0026472D">
              <w:rPr>
                <w:sz w:val="20"/>
                <w:szCs w:val="20"/>
                <w:lang w:val="en-US"/>
              </w:rPr>
              <w:t>3.1. Existence of a written mandate</w:t>
            </w:r>
          </w:p>
        </w:tc>
        <w:tc>
          <w:tcPr>
            <w:tcW w:w="580" w:type="pct"/>
          </w:tcPr>
          <w:p w:rsidR="00952D3A" w:rsidRPr="0026472D" w:rsidRDefault="00952D3A" w:rsidP="00952D3A">
            <w:pPr>
              <w:rPr>
                <w:sz w:val="20"/>
                <w:szCs w:val="20"/>
                <w:lang w:val="en-US"/>
              </w:rPr>
            </w:pPr>
            <w:r>
              <w:rPr>
                <w:sz w:val="20"/>
                <w:szCs w:val="20"/>
                <w:lang w:val="en-US"/>
              </w:rPr>
              <w:t xml:space="preserve">4.1. Full access on </w:t>
            </w:r>
            <w:proofErr w:type="spellStart"/>
            <w:r>
              <w:rPr>
                <w:sz w:val="20"/>
                <w:szCs w:val="20"/>
                <w:lang w:val="en-US"/>
              </w:rPr>
              <w:t>auditees</w:t>
            </w:r>
            <w:proofErr w:type="spellEnd"/>
            <w:r>
              <w:rPr>
                <w:sz w:val="20"/>
                <w:szCs w:val="20"/>
                <w:lang w:val="en-US"/>
              </w:rPr>
              <w:t xml:space="preserve"> accounts and information</w:t>
            </w:r>
          </w:p>
        </w:tc>
        <w:tc>
          <w:tcPr>
            <w:tcW w:w="491" w:type="pct"/>
          </w:tcPr>
          <w:p w:rsidR="00952D3A" w:rsidRPr="0026472D" w:rsidRDefault="00952D3A" w:rsidP="00952D3A">
            <w:pPr>
              <w:rPr>
                <w:sz w:val="20"/>
                <w:szCs w:val="20"/>
                <w:lang w:val="en-US"/>
              </w:rPr>
            </w:pPr>
            <w:r>
              <w:rPr>
                <w:sz w:val="20"/>
                <w:szCs w:val="20"/>
                <w:lang w:val="en-US"/>
              </w:rPr>
              <w:t>5.1. Effective yearly reporting on the SAI’s activity</w:t>
            </w:r>
          </w:p>
        </w:tc>
        <w:tc>
          <w:tcPr>
            <w:tcW w:w="550" w:type="pct"/>
          </w:tcPr>
          <w:p w:rsidR="00952D3A" w:rsidRPr="0026472D" w:rsidRDefault="00952D3A" w:rsidP="00952D3A">
            <w:pPr>
              <w:rPr>
                <w:sz w:val="20"/>
                <w:szCs w:val="20"/>
                <w:lang w:val="en-US"/>
              </w:rPr>
            </w:pPr>
            <w:r>
              <w:rPr>
                <w:sz w:val="20"/>
                <w:szCs w:val="20"/>
                <w:lang w:val="en-US"/>
              </w:rPr>
              <w:t>6.1. Freedom to report the audit results</w:t>
            </w:r>
          </w:p>
        </w:tc>
        <w:tc>
          <w:tcPr>
            <w:tcW w:w="358" w:type="pct"/>
          </w:tcPr>
          <w:p w:rsidR="00952D3A" w:rsidRPr="0026472D" w:rsidRDefault="00952D3A" w:rsidP="00952D3A">
            <w:pPr>
              <w:rPr>
                <w:sz w:val="20"/>
                <w:szCs w:val="20"/>
                <w:lang w:val="en-US"/>
              </w:rPr>
            </w:pPr>
            <w:r>
              <w:rPr>
                <w:sz w:val="20"/>
                <w:szCs w:val="20"/>
                <w:lang w:val="en-US"/>
              </w:rPr>
              <w:t>7.1. Systematical audit recommendations</w:t>
            </w:r>
          </w:p>
        </w:tc>
        <w:tc>
          <w:tcPr>
            <w:tcW w:w="798" w:type="pct"/>
          </w:tcPr>
          <w:p w:rsidR="00952D3A" w:rsidRPr="0026472D" w:rsidRDefault="00952D3A" w:rsidP="00952D3A">
            <w:pPr>
              <w:rPr>
                <w:sz w:val="20"/>
                <w:szCs w:val="20"/>
                <w:lang w:val="en-US"/>
              </w:rPr>
            </w:pPr>
            <w:r>
              <w:rPr>
                <w:sz w:val="20"/>
                <w:szCs w:val="20"/>
                <w:lang w:val="en-US"/>
              </w:rPr>
              <w:t>8.1. Existence of a separate budget for the SAI</w:t>
            </w:r>
          </w:p>
        </w:tc>
      </w:tr>
      <w:tr w:rsidR="00952D3A" w:rsidRPr="00952D3A" w:rsidTr="00952D3A">
        <w:tc>
          <w:tcPr>
            <w:tcW w:w="480" w:type="pct"/>
            <w:vMerge/>
            <w:shd w:val="clear" w:color="auto" w:fill="F2F2F2" w:themeFill="background1" w:themeFillShade="F2"/>
          </w:tcPr>
          <w:p w:rsidR="00952D3A" w:rsidRPr="0026472D" w:rsidRDefault="00952D3A" w:rsidP="00952D3A">
            <w:pPr>
              <w:rPr>
                <w:sz w:val="20"/>
                <w:szCs w:val="20"/>
                <w:lang w:val="en-US"/>
              </w:rPr>
            </w:pPr>
          </w:p>
        </w:tc>
        <w:tc>
          <w:tcPr>
            <w:tcW w:w="582" w:type="pct"/>
          </w:tcPr>
          <w:p w:rsidR="00952D3A" w:rsidRPr="0026472D" w:rsidRDefault="00952D3A" w:rsidP="00952D3A">
            <w:pPr>
              <w:rPr>
                <w:sz w:val="20"/>
                <w:szCs w:val="20"/>
                <w:lang w:val="en-US"/>
              </w:rPr>
            </w:pPr>
            <w:r w:rsidRPr="0026472D">
              <w:rPr>
                <w:sz w:val="20"/>
                <w:szCs w:val="20"/>
                <w:lang w:val="en-US"/>
              </w:rPr>
              <w:t xml:space="preserve">1.2. Key dimensions </w:t>
            </w:r>
            <w:r>
              <w:rPr>
                <w:sz w:val="20"/>
                <w:szCs w:val="20"/>
                <w:lang w:val="en-US"/>
              </w:rPr>
              <w:t xml:space="preserve">of the SAI’s statute </w:t>
            </w:r>
            <w:r w:rsidRPr="0026472D">
              <w:rPr>
                <w:sz w:val="20"/>
                <w:szCs w:val="20"/>
                <w:lang w:val="en-US"/>
              </w:rPr>
              <w:t>in the law</w:t>
            </w:r>
          </w:p>
        </w:tc>
        <w:tc>
          <w:tcPr>
            <w:tcW w:w="606" w:type="pct"/>
          </w:tcPr>
          <w:p w:rsidR="00952D3A" w:rsidRPr="0026472D" w:rsidRDefault="00952D3A" w:rsidP="00952D3A">
            <w:pPr>
              <w:rPr>
                <w:sz w:val="20"/>
                <w:szCs w:val="20"/>
                <w:lang w:val="en-US"/>
              </w:rPr>
            </w:pPr>
            <w:r w:rsidRPr="0026472D">
              <w:rPr>
                <w:sz w:val="20"/>
                <w:szCs w:val="20"/>
                <w:lang w:val="en-US"/>
              </w:rPr>
              <w:t>2.2. Nomination of the head for a fixed term</w:t>
            </w:r>
          </w:p>
        </w:tc>
        <w:tc>
          <w:tcPr>
            <w:tcW w:w="555" w:type="pct"/>
          </w:tcPr>
          <w:p w:rsidR="00952D3A" w:rsidRPr="0026472D" w:rsidRDefault="00952D3A" w:rsidP="00952D3A">
            <w:pPr>
              <w:rPr>
                <w:sz w:val="20"/>
                <w:szCs w:val="20"/>
                <w:lang w:val="en-US"/>
              </w:rPr>
            </w:pPr>
            <w:r w:rsidRPr="0026472D">
              <w:rPr>
                <w:sz w:val="20"/>
                <w:szCs w:val="20"/>
                <w:lang w:val="en-US"/>
              </w:rPr>
              <w:t>3.2. Full potential coverage of public spending (no limitations)</w:t>
            </w:r>
          </w:p>
        </w:tc>
        <w:tc>
          <w:tcPr>
            <w:tcW w:w="580" w:type="pct"/>
          </w:tcPr>
          <w:p w:rsidR="00952D3A" w:rsidRPr="0026472D" w:rsidRDefault="00952D3A" w:rsidP="00952D3A">
            <w:pPr>
              <w:rPr>
                <w:sz w:val="20"/>
                <w:szCs w:val="20"/>
                <w:lang w:val="en-US"/>
              </w:rPr>
            </w:pPr>
            <w:r>
              <w:rPr>
                <w:sz w:val="20"/>
                <w:szCs w:val="20"/>
                <w:lang w:val="en-US"/>
              </w:rPr>
              <w:t xml:space="preserve">4.2. Full access to legally restricted information (tax, bank, defense, </w:t>
            </w:r>
            <w:r w:rsidRPr="00C117D4">
              <w:rPr>
                <w:i/>
                <w:sz w:val="20"/>
                <w:szCs w:val="20"/>
                <w:lang w:val="en-US"/>
              </w:rPr>
              <w:t>etc.</w:t>
            </w:r>
            <w:r>
              <w:rPr>
                <w:sz w:val="20"/>
                <w:szCs w:val="20"/>
                <w:lang w:val="en-US"/>
              </w:rPr>
              <w:t>)</w:t>
            </w:r>
          </w:p>
        </w:tc>
        <w:tc>
          <w:tcPr>
            <w:tcW w:w="491" w:type="pct"/>
          </w:tcPr>
          <w:p w:rsidR="00952D3A" w:rsidRPr="0026472D" w:rsidRDefault="00952D3A" w:rsidP="00952D3A">
            <w:pPr>
              <w:rPr>
                <w:sz w:val="20"/>
                <w:szCs w:val="20"/>
                <w:lang w:val="en-US"/>
              </w:rPr>
            </w:pPr>
            <w:r>
              <w:rPr>
                <w:sz w:val="20"/>
                <w:szCs w:val="20"/>
                <w:lang w:val="en-US"/>
              </w:rPr>
              <w:t>5.2. Free access to the SAI’s yearly report</w:t>
            </w:r>
          </w:p>
        </w:tc>
        <w:tc>
          <w:tcPr>
            <w:tcW w:w="550" w:type="pct"/>
          </w:tcPr>
          <w:p w:rsidR="00952D3A" w:rsidRPr="0026472D" w:rsidRDefault="00952D3A" w:rsidP="00952D3A">
            <w:pPr>
              <w:rPr>
                <w:sz w:val="20"/>
                <w:szCs w:val="20"/>
                <w:lang w:val="en-US"/>
              </w:rPr>
            </w:pPr>
            <w:r>
              <w:rPr>
                <w:sz w:val="20"/>
                <w:szCs w:val="20"/>
                <w:lang w:val="en-US"/>
              </w:rPr>
              <w:t>6.2. Freedom of media appearance of the SAI’s head</w:t>
            </w:r>
          </w:p>
        </w:tc>
        <w:tc>
          <w:tcPr>
            <w:tcW w:w="358" w:type="pct"/>
          </w:tcPr>
          <w:p w:rsidR="00952D3A" w:rsidRPr="0026472D" w:rsidRDefault="00952D3A" w:rsidP="00952D3A">
            <w:pPr>
              <w:rPr>
                <w:sz w:val="20"/>
                <w:szCs w:val="20"/>
                <w:lang w:val="en-US"/>
              </w:rPr>
            </w:pPr>
            <w:r>
              <w:rPr>
                <w:sz w:val="20"/>
                <w:szCs w:val="20"/>
                <w:lang w:val="en-US"/>
              </w:rPr>
              <w:t>7.2. Obligation for government to give and publish its position on the SAI’s recommendations</w:t>
            </w:r>
          </w:p>
        </w:tc>
        <w:tc>
          <w:tcPr>
            <w:tcW w:w="798" w:type="pct"/>
          </w:tcPr>
          <w:p w:rsidR="00952D3A" w:rsidRPr="0026472D" w:rsidRDefault="00952D3A" w:rsidP="00952D3A">
            <w:pPr>
              <w:rPr>
                <w:sz w:val="20"/>
                <w:szCs w:val="20"/>
                <w:lang w:val="en-US"/>
              </w:rPr>
            </w:pPr>
            <w:r>
              <w:rPr>
                <w:sz w:val="20"/>
                <w:szCs w:val="20"/>
                <w:lang w:val="en-US"/>
              </w:rPr>
              <w:t>8.2. Direct approval of the SAI’s budget by the Parliament</w:t>
            </w:r>
          </w:p>
        </w:tc>
      </w:tr>
      <w:tr w:rsidR="00952D3A" w:rsidRPr="00952D3A" w:rsidTr="00952D3A">
        <w:tc>
          <w:tcPr>
            <w:tcW w:w="480" w:type="pct"/>
            <w:vMerge/>
            <w:shd w:val="clear" w:color="auto" w:fill="F2F2F2" w:themeFill="background1" w:themeFillShade="F2"/>
          </w:tcPr>
          <w:p w:rsidR="00952D3A" w:rsidRPr="0026472D" w:rsidRDefault="00952D3A" w:rsidP="00952D3A">
            <w:pPr>
              <w:rPr>
                <w:sz w:val="20"/>
                <w:szCs w:val="20"/>
                <w:lang w:val="en-US"/>
              </w:rPr>
            </w:pPr>
          </w:p>
        </w:tc>
        <w:tc>
          <w:tcPr>
            <w:tcW w:w="582" w:type="pct"/>
          </w:tcPr>
          <w:p w:rsidR="00952D3A" w:rsidRPr="0026472D" w:rsidRDefault="00952D3A" w:rsidP="00952D3A">
            <w:pPr>
              <w:rPr>
                <w:sz w:val="20"/>
                <w:szCs w:val="20"/>
                <w:lang w:val="en-US"/>
              </w:rPr>
            </w:pPr>
            <w:r w:rsidRPr="0026472D">
              <w:rPr>
                <w:sz w:val="20"/>
                <w:szCs w:val="20"/>
                <w:lang w:val="en-US"/>
              </w:rPr>
              <w:t>1.3. Existence of a binding legal code</w:t>
            </w:r>
          </w:p>
        </w:tc>
        <w:tc>
          <w:tcPr>
            <w:tcW w:w="606" w:type="pct"/>
          </w:tcPr>
          <w:p w:rsidR="00952D3A" w:rsidRPr="0026472D" w:rsidRDefault="00952D3A" w:rsidP="00952D3A">
            <w:pPr>
              <w:rPr>
                <w:sz w:val="20"/>
                <w:szCs w:val="20"/>
                <w:lang w:val="en-US"/>
              </w:rPr>
            </w:pPr>
            <w:r w:rsidRPr="0026472D">
              <w:rPr>
                <w:sz w:val="20"/>
                <w:szCs w:val="20"/>
                <w:lang w:val="en-US"/>
              </w:rPr>
              <w:t>2.3. No possibility of arbitrary revocation of the head</w:t>
            </w:r>
          </w:p>
        </w:tc>
        <w:tc>
          <w:tcPr>
            <w:tcW w:w="555" w:type="pct"/>
          </w:tcPr>
          <w:p w:rsidR="00952D3A" w:rsidRPr="0026472D" w:rsidRDefault="00952D3A" w:rsidP="00952D3A">
            <w:pPr>
              <w:rPr>
                <w:sz w:val="20"/>
                <w:szCs w:val="20"/>
                <w:lang w:val="en-US"/>
              </w:rPr>
            </w:pPr>
            <w:r w:rsidRPr="0026472D">
              <w:rPr>
                <w:sz w:val="20"/>
                <w:szCs w:val="20"/>
                <w:lang w:val="en-US"/>
              </w:rPr>
              <w:t xml:space="preserve">3.3. Independence of </w:t>
            </w:r>
            <w:proofErr w:type="spellStart"/>
            <w:r w:rsidRPr="0026472D">
              <w:rPr>
                <w:sz w:val="20"/>
                <w:szCs w:val="20"/>
                <w:lang w:val="en-US"/>
              </w:rPr>
              <w:t>program</w:t>
            </w:r>
            <w:r>
              <w:rPr>
                <w:sz w:val="20"/>
                <w:szCs w:val="20"/>
                <w:lang w:val="en-US"/>
              </w:rPr>
              <w:t>ing</w:t>
            </w:r>
            <w:proofErr w:type="spellEnd"/>
          </w:p>
        </w:tc>
        <w:tc>
          <w:tcPr>
            <w:tcW w:w="580" w:type="pct"/>
          </w:tcPr>
          <w:p w:rsidR="00952D3A" w:rsidRPr="0026472D" w:rsidRDefault="00952D3A" w:rsidP="00952D3A">
            <w:pPr>
              <w:rPr>
                <w:sz w:val="20"/>
                <w:szCs w:val="20"/>
                <w:lang w:val="en-US"/>
              </w:rPr>
            </w:pPr>
            <w:r>
              <w:rPr>
                <w:sz w:val="20"/>
                <w:szCs w:val="20"/>
                <w:lang w:val="en-US"/>
              </w:rPr>
              <w:t>4.3. No hindrance through privacy protection legislation</w:t>
            </w:r>
          </w:p>
        </w:tc>
        <w:tc>
          <w:tcPr>
            <w:tcW w:w="491" w:type="pct"/>
          </w:tcPr>
          <w:p w:rsidR="00952D3A" w:rsidRPr="0026472D" w:rsidRDefault="00952D3A" w:rsidP="00952D3A">
            <w:pPr>
              <w:rPr>
                <w:sz w:val="20"/>
                <w:szCs w:val="20"/>
                <w:lang w:val="en-US"/>
              </w:rPr>
            </w:pPr>
            <w:r>
              <w:rPr>
                <w:sz w:val="20"/>
                <w:szCs w:val="20"/>
                <w:lang w:val="en-US"/>
              </w:rPr>
              <w:t>5.3. Yearly performance report to the Parliament</w:t>
            </w:r>
          </w:p>
        </w:tc>
        <w:tc>
          <w:tcPr>
            <w:tcW w:w="550" w:type="pct"/>
          </w:tcPr>
          <w:p w:rsidR="00952D3A" w:rsidRPr="0026472D" w:rsidRDefault="00952D3A" w:rsidP="00952D3A">
            <w:pPr>
              <w:rPr>
                <w:sz w:val="20"/>
                <w:szCs w:val="20"/>
                <w:lang w:val="en-US"/>
              </w:rPr>
            </w:pPr>
            <w:r>
              <w:rPr>
                <w:sz w:val="20"/>
                <w:szCs w:val="20"/>
                <w:lang w:val="en-US"/>
              </w:rPr>
              <w:t>6.3. Freedom to decide the publication of an audit results</w:t>
            </w:r>
          </w:p>
        </w:tc>
        <w:tc>
          <w:tcPr>
            <w:tcW w:w="358" w:type="pct"/>
          </w:tcPr>
          <w:p w:rsidR="00952D3A" w:rsidRPr="0026472D" w:rsidRDefault="00952D3A" w:rsidP="00952D3A">
            <w:pPr>
              <w:rPr>
                <w:sz w:val="20"/>
                <w:szCs w:val="20"/>
                <w:lang w:val="en-US"/>
              </w:rPr>
            </w:pPr>
            <w:r>
              <w:rPr>
                <w:sz w:val="20"/>
                <w:szCs w:val="20"/>
                <w:lang w:val="en-US"/>
              </w:rPr>
              <w:t>7.3. Existence of a recommendations follow-up’ mechanism</w:t>
            </w:r>
          </w:p>
        </w:tc>
        <w:tc>
          <w:tcPr>
            <w:tcW w:w="798" w:type="pct"/>
          </w:tcPr>
          <w:p w:rsidR="00952D3A" w:rsidRPr="0026472D" w:rsidRDefault="00952D3A" w:rsidP="00952D3A">
            <w:pPr>
              <w:rPr>
                <w:sz w:val="20"/>
                <w:szCs w:val="20"/>
                <w:lang w:val="en-US"/>
              </w:rPr>
            </w:pPr>
            <w:r>
              <w:rPr>
                <w:sz w:val="20"/>
                <w:szCs w:val="20"/>
                <w:lang w:val="en-US"/>
              </w:rPr>
              <w:t xml:space="preserve">8.3. Absence of financial support to the SAI from the </w:t>
            </w:r>
            <w:proofErr w:type="spellStart"/>
            <w:r>
              <w:rPr>
                <w:sz w:val="20"/>
                <w:szCs w:val="20"/>
                <w:lang w:val="en-US"/>
              </w:rPr>
              <w:t>auditees</w:t>
            </w:r>
            <w:proofErr w:type="spellEnd"/>
          </w:p>
        </w:tc>
      </w:tr>
      <w:tr w:rsidR="00952D3A" w:rsidRPr="00952D3A" w:rsidTr="00952D3A">
        <w:tc>
          <w:tcPr>
            <w:tcW w:w="480" w:type="pct"/>
            <w:vMerge/>
            <w:shd w:val="clear" w:color="auto" w:fill="F2F2F2" w:themeFill="background1" w:themeFillShade="F2"/>
          </w:tcPr>
          <w:p w:rsidR="00952D3A" w:rsidRPr="0026472D" w:rsidRDefault="00952D3A" w:rsidP="00952D3A">
            <w:pPr>
              <w:rPr>
                <w:sz w:val="20"/>
                <w:szCs w:val="20"/>
                <w:lang w:val="en-US"/>
              </w:rPr>
            </w:pPr>
          </w:p>
        </w:tc>
        <w:tc>
          <w:tcPr>
            <w:tcW w:w="582" w:type="pct"/>
          </w:tcPr>
          <w:p w:rsidR="00952D3A" w:rsidRPr="0026472D" w:rsidRDefault="00952D3A" w:rsidP="00952D3A">
            <w:pPr>
              <w:rPr>
                <w:sz w:val="20"/>
                <w:szCs w:val="20"/>
                <w:lang w:val="en-US"/>
              </w:rPr>
            </w:pPr>
            <w:r>
              <w:rPr>
                <w:sz w:val="20"/>
                <w:szCs w:val="20"/>
                <w:lang w:val="en-US"/>
              </w:rPr>
              <w:t>1.4. Effective implementation of the statutory framework</w:t>
            </w:r>
          </w:p>
        </w:tc>
        <w:tc>
          <w:tcPr>
            <w:tcW w:w="606" w:type="pct"/>
          </w:tcPr>
          <w:p w:rsidR="00952D3A" w:rsidRPr="0026472D" w:rsidRDefault="00952D3A" w:rsidP="00952D3A">
            <w:pPr>
              <w:rPr>
                <w:sz w:val="20"/>
                <w:szCs w:val="20"/>
                <w:lang w:val="en-US"/>
              </w:rPr>
            </w:pPr>
            <w:r w:rsidRPr="0026472D">
              <w:rPr>
                <w:sz w:val="20"/>
                <w:szCs w:val="20"/>
                <w:lang w:val="en-US"/>
              </w:rPr>
              <w:t>2.4. Professional guarantees for the selection and employment of staff</w:t>
            </w:r>
          </w:p>
        </w:tc>
        <w:tc>
          <w:tcPr>
            <w:tcW w:w="555" w:type="pct"/>
          </w:tcPr>
          <w:p w:rsidR="00952D3A" w:rsidRPr="0026472D" w:rsidRDefault="00952D3A" w:rsidP="00952D3A">
            <w:pPr>
              <w:rPr>
                <w:sz w:val="20"/>
                <w:szCs w:val="20"/>
                <w:lang w:val="en-US"/>
              </w:rPr>
            </w:pPr>
            <w:r>
              <w:rPr>
                <w:sz w:val="20"/>
                <w:szCs w:val="20"/>
                <w:lang w:val="en-US"/>
              </w:rPr>
              <w:t>3.4. Direct or indirect coverage of local bodies’ accounts</w:t>
            </w:r>
          </w:p>
        </w:tc>
        <w:tc>
          <w:tcPr>
            <w:tcW w:w="580" w:type="pct"/>
          </w:tcPr>
          <w:p w:rsidR="00952D3A" w:rsidRPr="0026472D" w:rsidRDefault="00952D3A" w:rsidP="00952D3A">
            <w:pPr>
              <w:rPr>
                <w:sz w:val="20"/>
                <w:szCs w:val="20"/>
                <w:lang w:val="en-US"/>
              </w:rPr>
            </w:pPr>
            <w:r>
              <w:rPr>
                <w:sz w:val="20"/>
                <w:szCs w:val="20"/>
                <w:lang w:val="en-US"/>
              </w:rPr>
              <w:t xml:space="preserve">4.4. Direct access to the </w:t>
            </w:r>
            <w:proofErr w:type="spellStart"/>
            <w:r>
              <w:rPr>
                <w:sz w:val="20"/>
                <w:szCs w:val="20"/>
                <w:lang w:val="en-US"/>
              </w:rPr>
              <w:t>auditee’s</w:t>
            </w:r>
            <w:proofErr w:type="spellEnd"/>
            <w:r>
              <w:rPr>
                <w:sz w:val="20"/>
                <w:szCs w:val="20"/>
                <w:lang w:val="en-US"/>
              </w:rPr>
              <w:t xml:space="preserve"> accounts and information</w:t>
            </w:r>
          </w:p>
        </w:tc>
        <w:tc>
          <w:tcPr>
            <w:tcW w:w="491" w:type="pct"/>
          </w:tcPr>
          <w:p w:rsidR="00952D3A" w:rsidRPr="0026472D" w:rsidRDefault="00952D3A" w:rsidP="00952D3A">
            <w:pPr>
              <w:rPr>
                <w:sz w:val="20"/>
                <w:szCs w:val="20"/>
                <w:lang w:val="en-US"/>
              </w:rPr>
            </w:pPr>
            <w:r>
              <w:rPr>
                <w:sz w:val="20"/>
                <w:szCs w:val="20"/>
                <w:lang w:val="en-US"/>
              </w:rPr>
              <w:t>5.4. Transparency on SAI’s ways, means and outputs</w:t>
            </w:r>
          </w:p>
        </w:tc>
        <w:tc>
          <w:tcPr>
            <w:tcW w:w="550" w:type="pct"/>
          </w:tcPr>
          <w:p w:rsidR="00952D3A" w:rsidRPr="0026472D" w:rsidRDefault="00952D3A" w:rsidP="00952D3A">
            <w:pPr>
              <w:rPr>
                <w:sz w:val="20"/>
                <w:szCs w:val="20"/>
                <w:lang w:val="en-US"/>
              </w:rPr>
            </w:pPr>
            <w:r>
              <w:rPr>
                <w:sz w:val="20"/>
                <w:szCs w:val="20"/>
                <w:lang w:val="en-US"/>
              </w:rPr>
              <w:t>6.4. Free external access to the SAI’s previous publications</w:t>
            </w:r>
          </w:p>
        </w:tc>
        <w:tc>
          <w:tcPr>
            <w:tcW w:w="358" w:type="pct"/>
          </w:tcPr>
          <w:p w:rsidR="00952D3A" w:rsidRPr="0026472D" w:rsidRDefault="00952D3A" w:rsidP="00952D3A">
            <w:pPr>
              <w:rPr>
                <w:sz w:val="20"/>
                <w:szCs w:val="20"/>
                <w:lang w:val="en-US"/>
              </w:rPr>
            </w:pPr>
            <w:r>
              <w:rPr>
                <w:sz w:val="20"/>
                <w:szCs w:val="20"/>
                <w:lang w:val="en-US"/>
              </w:rPr>
              <w:t>7.4. Public reporting on the implementation of the SAI’s recommendations</w:t>
            </w:r>
          </w:p>
        </w:tc>
        <w:tc>
          <w:tcPr>
            <w:tcW w:w="798" w:type="pct"/>
          </w:tcPr>
          <w:p w:rsidR="00952D3A" w:rsidRPr="0026472D" w:rsidRDefault="00952D3A" w:rsidP="00952D3A">
            <w:pPr>
              <w:rPr>
                <w:sz w:val="20"/>
                <w:szCs w:val="20"/>
                <w:lang w:val="en-US"/>
              </w:rPr>
            </w:pPr>
            <w:r>
              <w:rPr>
                <w:sz w:val="20"/>
                <w:szCs w:val="20"/>
                <w:lang w:val="en-US"/>
              </w:rPr>
              <w:t>8.4. Self-management of the SAI budget and funds</w:t>
            </w:r>
          </w:p>
        </w:tc>
      </w:tr>
      <w:tr w:rsidR="00952D3A" w:rsidRPr="00952D3A" w:rsidTr="00952D3A">
        <w:trPr>
          <w:trHeight w:val="900"/>
        </w:trPr>
        <w:tc>
          <w:tcPr>
            <w:tcW w:w="480" w:type="pct"/>
            <w:vMerge/>
            <w:shd w:val="clear" w:color="auto" w:fill="F2F2F2" w:themeFill="background1" w:themeFillShade="F2"/>
          </w:tcPr>
          <w:p w:rsidR="00952D3A" w:rsidRPr="0026472D" w:rsidRDefault="00952D3A" w:rsidP="00952D3A">
            <w:pPr>
              <w:rPr>
                <w:sz w:val="20"/>
                <w:szCs w:val="20"/>
                <w:lang w:val="en-US"/>
              </w:rPr>
            </w:pPr>
          </w:p>
        </w:tc>
        <w:tc>
          <w:tcPr>
            <w:tcW w:w="582" w:type="pct"/>
          </w:tcPr>
          <w:p w:rsidR="00952D3A" w:rsidRPr="0026472D" w:rsidRDefault="00952D3A" w:rsidP="00952D3A">
            <w:pPr>
              <w:rPr>
                <w:sz w:val="20"/>
                <w:szCs w:val="20"/>
                <w:lang w:val="en-US"/>
              </w:rPr>
            </w:pPr>
            <w:r>
              <w:rPr>
                <w:sz w:val="20"/>
                <w:szCs w:val="20"/>
                <w:lang w:val="en-US"/>
              </w:rPr>
              <w:t>1.5. Absence of conflict of laws regarding the statutory framework</w:t>
            </w:r>
          </w:p>
        </w:tc>
        <w:tc>
          <w:tcPr>
            <w:tcW w:w="606" w:type="pct"/>
          </w:tcPr>
          <w:p w:rsidR="00952D3A" w:rsidRPr="0026472D" w:rsidRDefault="00952D3A" w:rsidP="00952D3A">
            <w:pPr>
              <w:rPr>
                <w:sz w:val="20"/>
                <w:szCs w:val="20"/>
                <w:lang w:val="en-US"/>
              </w:rPr>
            </w:pPr>
            <w:r w:rsidRPr="0026472D">
              <w:rPr>
                <w:sz w:val="20"/>
                <w:szCs w:val="20"/>
                <w:lang w:val="en-US"/>
              </w:rPr>
              <w:t>2.5. No possibility of arbitrary revocation of the staff</w:t>
            </w:r>
          </w:p>
        </w:tc>
        <w:tc>
          <w:tcPr>
            <w:tcW w:w="555" w:type="pct"/>
          </w:tcPr>
          <w:p w:rsidR="00952D3A" w:rsidRPr="0026472D" w:rsidRDefault="00952D3A" w:rsidP="00952D3A">
            <w:pPr>
              <w:rPr>
                <w:sz w:val="20"/>
                <w:szCs w:val="20"/>
                <w:lang w:val="en-US"/>
              </w:rPr>
            </w:pPr>
            <w:r>
              <w:rPr>
                <w:sz w:val="20"/>
                <w:szCs w:val="20"/>
                <w:lang w:val="en-US"/>
              </w:rPr>
              <w:t>3.5</w:t>
            </w:r>
            <w:r w:rsidRPr="0026472D">
              <w:rPr>
                <w:sz w:val="20"/>
                <w:szCs w:val="20"/>
                <w:lang w:val="en-US"/>
              </w:rPr>
              <w:t xml:space="preserve">. </w:t>
            </w:r>
            <w:r>
              <w:rPr>
                <w:sz w:val="20"/>
                <w:szCs w:val="20"/>
                <w:lang w:val="en-US"/>
              </w:rPr>
              <w:t>Direct access of citizens to the SAI</w:t>
            </w:r>
          </w:p>
        </w:tc>
        <w:tc>
          <w:tcPr>
            <w:tcW w:w="580" w:type="pct"/>
            <w:shd w:val="clear" w:color="auto" w:fill="F2F2F2" w:themeFill="background1" w:themeFillShade="F2"/>
          </w:tcPr>
          <w:p w:rsidR="00952D3A" w:rsidRPr="0026472D" w:rsidRDefault="00952D3A" w:rsidP="00952D3A">
            <w:pPr>
              <w:rPr>
                <w:sz w:val="20"/>
                <w:szCs w:val="20"/>
                <w:lang w:val="en-US"/>
              </w:rPr>
            </w:pPr>
          </w:p>
        </w:tc>
        <w:tc>
          <w:tcPr>
            <w:tcW w:w="491" w:type="pct"/>
            <w:shd w:val="clear" w:color="auto" w:fill="F2F2F2" w:themeFill="background1" w:themeFillShade="F2"/>
          </w:tcPr>
          <w:p w:rsidR="00952D3A" w:rsidRPr="0026472D" w:rsidRDefault="00952D3A" w:rsidP="00952D3A">
            <w:pPr>
              <w:rPr>
                <w:sz w:val="20"/>
                <w:szCs w:val="20"/>
                <w:lang w:val="en-US"/>
              </w:rPr>
            </w:pPr>
          </w:p>
        </w:tc>
        <w:tc>
          <w:tcPr>
            <w:tcW w:w="550" w:type="pct"/>
            <w:shd w:val="clear" w:color="auto" w:fill="F2F2F2" w:themeFill="background1" w:themeFillShade="F2"/>
          </w:tcPr>
          <w:p w:rsidR="00952D3A" w:rsidRPr="0026472D" w:rsidRDefault="00952D3A" w:rsidP="00952D3A">
            <w:pPr>
              <w:rPr>
                <w:sz w:val="20"/>
                <w:szCs w:val="20"/>
                <w:lang w:val="en-US"/>
              </w:rPr>
            </w:pPr>
          </w:p>
        </w:tc>
        <w:tc>
          <w:tcPr>
            <w:tcW w:w="358" w:type="pct"/>
            <w:shd w:val="clear" w:color="auto" w:fill="F2F2F2" w:themeFill="background1" w:themeFillShade="F2"/>
          </w:tcPr>
          <w:p w:rsidR="00952D3A" w:rsidRPr="0026472D" w:rsidRDefault="00952D3A" w:rsidP="00952D3A">
            <w:pPr>
              <w:rPr>
                <w:sz w:val="20"/>
                <w:szCs w:val="20"/>
                <w:lang w:val="en-US"/>
              </w:rPr>
            </w:pPr>
          </w:p>
        </w:tc>
        <w:tc>
          <w:tcPr>
            <w:tcW w:w="798" w:type="pct"/>
          </w:tcPr>
          <w:p w:rsidR="00952D3A" w:rsidRPr="0026472D" w:rsidRDefault="00952D3A" w:rsidP="00952D3A">
            <w:pPr>
              <w:rPr>
                <w:sz w:val="20"/>
                <w:szCs w:val="20"/>
                <w:lang w:val="en-US"/>
              </w:rPr>
            </w:pPr>
            <w:r>
              <w:rPr>
                <w:sz w:val="20"/>
                <w:szCs w:val="20"/>
                <w:lang w:val="en-US"/>
              </w:rPr>
              <w:t>8.5. Autonomy of the staff recruitment process</w:t>
            </w:r>
          </w:p>
        </w:tc>
      </w:tr>
    </w:tbl>
    <w:p w:rsidR="004E444D" w:rsidRPr="00B91EB9" w:rsidRDefault="004E444D" w:rsidP="00952D3A">
      <w:pPr>
        <w:rPr>
          <w:lang w:val="en-US"/>
        </w:rPr>
      </w:pPr>
    </w:p>
    <w:sectPr w:rsidR="004E444D" w:rsidRPr="00B91EB9" w:rsidSect="0079435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D0A" w:rsidRDefault="00467D0A" w:rsidP="00952D3A">
      <w:pPr>
        <w:spacing w:after="0" w:line="240" w:lineRule="auto"/>
      </w:pPr>
      <w:r>
        <w:separator/>
      </w:r>
    </w:p>
  </w:endnote>
  <w:endnote w:type="continuationSeparator" w:id="0">
    <w:p w:rsidR="00467D0A" w:rsidRDefault="00467D0A" w:rsidP="00952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D0A" w:rsidRDefault="00467D0A" w:rsidP="00952D3A">
      <w:pPr>
        <w:spacing w:after="0" w:line="240" w:lineRule="auto"/>
      </w:pPr>
      <w:r>
        <w:separator/>
      </w:r>
    </w:p>
  </w:footnote>
  <w:footnote w:type="continuationSeparator" w:id="0">
    <w:p w:rsidR="00467D0A" w:rsidRDefault="00467D0A" w:rsidP="00952D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87768"/>
    <w:multiLevelType w:val="hybridMultilevel"/>
    <w:tmpl w:val="78249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1EB9"/>
    <w:rsid w:val="0001337C"/>
    <w:rsid w:val="00015B31"/>
    <w:rsid w:val="00027B13"/>
    <w:rsid w:val="00091B52"/>
    <w:rsid w:val="000A7252"/>
    <w:rsid w:val="000B74B4"/>
    <w:rsid w:val="00143CF8"/>
    <w:rsid w:val="001541E5"/>
    <w:rsid w:val="001B701C"/>
    <w:rsid w:val="001E4E39"/>
    <w:rsid w:val="0026472D"/>
    <w:rsid w:val="002B5004"/>
    <w:rsid w:val="00334B49"/>
    <w:rsid w:val="00344553"/>
    <w:rsid w:val="003868E7"/>
    <w:rsid w:val="00456ED1"/>
    <w:rsid w:val="00467D0A"/>
    <w:rsid w:val="004E444D"/>
    <w:rsid w:val="00537CDD"/>
    <w:rsid w:val="005E1B34"/>
    <w:rsid w:val="005E3392"/>
    <w:rsid w:val="00666C51"/>
    <w:rsid w:val="00684128"/>
    <w:rsid w:val="006D29E3"/>
    <w:rsid w:val="007257EE"/>
    <w:rsid w:val="007461C8"/>
    <w:rsid w:val="00777DFD"/>
    <w:rsid w:val="00794356"/>
    <w:rsid w:val="00814ED4"/>
    <w:rsid w:val="00952D3A"/>
    <w:rsid w:val="00A24DFF"/>
    <w:rsid w:val="00B226CB"/>
    <w:rsid w:val="00B91EB9"/>
    <w:rsid w:val="00BA7216"/>
    <w:rsid w:val="00BE2978"/>
    <w:rsid w:val="00C117D4"/>
    <w:rsid w:val="00C222CD"/>
    <w:rsid w:val="00C447C1"/>
    <w:rsid w:val="00D30A46"/>
    <w:rsid w:val="00D64CBC"/>
    <w:rsid w:val="00D8037A"/>
    <w:rsid w:val="00DB7AF0"/>
    <w:rsid w:val="00DE4914"/>
    <w:rsid w:val="00F14073"/>
    <w:rsid w:val="00F768C0"/>
    <w:rsid w:val="00F839B7"/>
    <w:rsid w:val="00FC0D23"/>
    <w:rsid w:val="00FC3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4356"/>
    <w:pPr>
      <w:ind w:left="720"/>
      <w:contextualSpacing/>
    </w:pPr>
  </w:style>
  <w:style w:type="character" w:styleId="CommentReference">
    <w:name w:val="annotation reference"/>
    <w:basedOn w:val="DefaultParagraphFont"/>
    <w:uiPriority w:val="99"/>
    <w:semiHidden/>
    <w:unhideWhenUsed/>
    <w:rsid w:val="00015B31"/>
    <w:rPr>
      <w:sz w:val="16"/>
      <w:szCs w:val="16"/>
    </w:rPr>
  </w:style>
  <w:style w:type="paragraph" w:styleId="CommentText">
    <w:name w:val="annotation text"/>
    <w:basedOn w:val="Normal"/>
    <w:link w:val="CommentTextChar"/>
    <w:uiPriority w:val="99"/>
    <w:semiHidden/>
    <w:unhideWhenUsed/>
    <w:rsid w:val="00015B31"/>
    <w:pPr>
      <w:spacing w:line="240" w:lineRule="auto"/>
    </w:pPr>
    <w:rPr>
      <w:sz w:val="20"/>
      <w:szCs w:val="20"/>
    </w:rPr>
  </w:style>
  <w:style w:type="character" w:customStyle="1" w:styleId="CommentTextChar">
    <w:name w:val="Comment Text Char"/>
    <w:basedOn w:val="DefaultParagraphFont"/>
    <w:link w:val="CommentText"/>
    <w:uiPriority w:val="99"/>
    <w:semiHidden/>
    <w:rsid w:val="00015B31"/>
    <w:rPr>
      <w:sz w:val="20"/>
      <w:szCs w:val="20"/>
    </w:rPr>
  </w:style>
  <w:style w:type="paragraph" w:styleId="CommentSubject">
    <w:name w:val="annotation subject"/>
    <w:basedOn w:val="CommentText"/>
    <w:next w:val="CommentText"/>
    <w:link w:val="CommentSubjectChar"/>
    <w:uiPriority w:val="99"/>
    <w:semiHidden/>
    <w:unhideWhenUsed/>
    <w:rsid w:val="00015B31"/>
    <w:rPr>
      <w:b/>
      <w:bCs/>
    </w:rPr>
  </w:style>
  <w:style w:type="character" w:customStyle="1" w:styleId="CommentSubjectChar">
    <w:name w:val="Comment Subject Char"/>
    <w:basedOn w:val="CommentTextChar"/>
    <w:link w:val="CommentSubject"/>
    <w:uiPriority w:val="99"/>
    <w:semiHidden/>
    <w:rsid w:val="00015B31"/>
    <w:rPr>
      <w:b/>
      <w:bCs/>
      <w:sz w:val="20"/>
      <w:szCs w:val="20"/>
    </w:rPr>
  </w:style>
  <w:style w:type="paragraph" w:styleId="BalloonText">
    <w:name w:val="Balloon Text"/>
    <w:basedOn w:val="Normal"/>
    <w:link w:val="BalloonTextChar"/>
    <w:uiPriority w:val="99"/>
    <w:semiHidden/>
    <w:unhideWhenUsed/>
    <w:rsid w:val="00015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31"/>
    <w:rPr>
      <w:rFonts w:ascii="Segoe UI" w:hAnsi="Segoe UI" w:cs="Segoe UI"/>
      <w:sz w:val="18"/>
      <w:szCs w:val="18"/>
    </w:rPr>
  </w:style>
  <w:style w:type="paragraph" w:styleId="Header">
    <w:name w:val="header"/>
    <w:basedOn w:val="Normal"/>
    <w:link w:val="HeaderChar"/>
    <w:uiPriority w:val="99"/>
    <w:unhideWhenUsed/>
    <w:rsid w:val="00952D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2D3A"/>
  </w:style>
  <w:style w:type="paragraph" w:styleId="Footer">
    <w:name w:val="footer"/>
    <w:basedOn w:val="Normal"/>
    <w:link w:val="FooterChar"/>
    <w:uiPriority w:val="99"/>
    <w:unhideWhenUsed/>
    <w:rsid w:val="00952D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2D3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E248-7336-413E-A862-6A75B607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Cour des Comptes</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Hayez, Philippe</dc:creator>
  <cp:lastModifiedBy>User</cp:lastModifiedBy>
  <cp:revision>13</cp:revision>
  <dcterms:created xsi:type="dcterms:W3CDTF">2020-11-11T03:20:00Z</dcterms:created>
  <dcterms:modified xsi:type="dcterms:W3CDTF">2020-11-16T03:58:00Z</dcterms:modified>
</cp:coreProperties>
</file>