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63B95D" w14:textId="77777777" w:rsidR="00513119" w:rsidRPr="00711677" w:rsidRDefault="00AA2310" w:rsidP="009F715C">
      <w:pPr>
        <w:spacing w:after="120" w:line="240" w:lineRule="auto"/>
        <w:ind w:left="1440" w:firstLine="720"/>
        <w:rPr>
          <w:rFonts w:asciiTheme="majorHAnsi" w:eastAsia="Times New Roman" w:hAnsiTheme="majorHAnsi" w:cs="Times New Roman"/>
          <w:color w:val="244061" w:themeColor="accent1" w:themeShade="80"/>
          <w:sz w:val="24"/>
          <w:szCs w:val="24"/>
          <w:lang w:val="en-US"/>
        </w:rPr>
      </w:pPr>
      <w:bookmarkStart w:id="0" w:name="_GoBack"/>
      <w:bookmarkEnd w:id="0"/>
      <w:r w:rsidRPr="00711677">
        <w:rPr>
          <w:rFonts w:asciiTheme="majorHAnsi" w:eastAsia="Calibri" w:hAnsiTheme="majorHAnsi" w:cs="Times New Roman"/>
          <w:b/>
          <w:noProof/>
          <w:color w:val="244061" w:themeColor="accent1" w:themeShade="80"/>
          <w:spacing w:val="-2"/>
          <w:sz w:val="24"/>
          <w:szCs w:val="24"/>
          <w:lang w:val="en-PH" w:eastAsia="en-PH"/>
        </w:rPr>
        <mc:AlternateContent>
          <mc:Choice Requires="wps">
            <w:drawing>
              <wp:anchor distT="0" distB="0" distL="114300" distR="114300" simplePos="0" relativeHeight="251656192" behindDoc="0" locked="0" layoutInCell="1" allowOverlap="1" wp14:anchorId="6A0A98F6" wp14:editId="339AF68D">
                <wp:simplePos x="0" y="0"/>
                <wp:positionH relativeFrom="column">
                  <wp:posOffset>-130810</wp:posOffset>
                </wp:positionH>
                <wp:positionV relativeFrom="paragraph">
                  <wp:posOffset>-38100</wp:posOffset>
                </wp:positionV>
                <wp:extent cx="3625850" cy="307975"/>
                <wp:effectExtent l="0" t="0" r="12700" b="158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0" cy="307975"/>
                        </a:xfrm>
                        <a:prstGeom prst="rect">
                          <a:avLst/>
                        </a:prstGeom>
                        <a:solidFill>
                          <a:srgbClr val="FFFFFF"/>
                        </a:solidFill>
                        <a:ln w="9525">
                          <a:solidFill>
                            <a:schemeClr val="tx1">
                              <a:lumMod val="50000"/>
                              <a:lumOff val="50000"/>
                            </a:schemeClr>
                          </a:solidFill>
                          <a:miter lim="800000"/>
                          <a:headEnd/>
                          <a:tailEnd/>
                        </a:ln>
                      </wps:spPr>
                      <wps:txbx>
                        <w:txbxContent>
                          <w:p w14:paraId="7DFB7000" w14:textId="77777777" w:rsidR="003F1F75" w:rsidRPr="003F1F75" w:rsidRDefault="00711677" w:rsidP="003F1F75">
                            <w:pPr>
                              <w:jc w:val="center"/>
                              <w:rPr>
                                <w:b/>
                                <w:color w:val="7F7F7F" w:themeColor="text1" w:themeTint="80"/>
                                <w:sz w:val="24"/>
                              </w:rPr>
                            </w:pPr>
                            <w:r>
                              <w:rPr>
                                <w:b/>
                                <w:color w:val="595959" w:themeColor="text1" w:themeTint="A6"/>
                                <w:sz w:val="24"/>
                              </w:rPr>
                              <w:t>R</w:t>
                            </w:r>
                            <w:r w:rsidR="003F1F75" w:rsidRPr="00E0200F">
                              <w:rPr>
                                <w:b/>
                                <w:color w:val="595959" w:themeColor="text1" w:themeTint="A6"/>
                                <w:sz w:val="24"/>
                              </w:rPr>
                              <w:t>eporting dashboard</w:t>
                            </w:r>
                            <w:r>
                              <w:rPr>
                                <w:b/>
                                <w:color w:val="595959" w:themeColor="text1" w:themeTint="A6"/>
                                <w:sz w:val="24"/>
                              </w:rPr>
                              <w:t xml:space="preserve"> </w:t>
                            </w:r>
                            <w:r w:rsidR="00303FFE">
                              <w:rPr>
                                <w:b/>
                                <w:color w:val="595959" w:themeColor="text1" w:themeTint="A6"/>
                                <w:sz w:val="24"/>
                              </w:rPr>
                              <w:t>–</w:t>
                            </w:r>
                            <w:r>
                              <w:rPr>
                                <w:b/>
                                <w:color w:val="595959" w:themeColor="text1" w:themeTint="A6"/>
                                <w:sz w:val="24"/>
                              </w:rPr>
                              <w:t xml:space="preserve"> </w:t>
                            </w:r>
                            <w:r w:rsidR="00303FFE">
                              <w:rPr>
                                <w:b/>
                                <w:color w:val="595959" w:themeColor="text1" w:themeTint="A6"/>
                                <w:sz w:val="24"/>
                              </w:rPr>
                              <w:t>Working Group on Public Debt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0A98F6" id="_x0000_t202" coordsize="21600,21600" o:spt="202" path="m,l,21600r21600,l21600,xe">
                <v:stroke joinstyle="miter"/>
                <v:path gradientshapeok="t" o:connecttype="rect"/>
              </v:shapetype>
              <v:shape id="Text Box 2" o:spid="_x0000_s1026" type="#_x0000_t202" style="position:absolute;left:0;text-align:left;margin-left:-10.3pt;margin-top:-3pt;width:285.5pt;height:2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" strokecolor="gray [1629]">
                <v:textbox>
                  <w:txbxContent>
                    <w:p w14:paraId="7DFB7000" w14:textId="77777777" w:rsidR="003F1F75" w:rsidRPr="003F1F75" w:rsidRDefault="00711677" w:rsidP="003F1F75">
                      <w:pPr>
                        <w:jc w:val="center"/>
                        <w:rPr>
                          <w:b/>
                          <w:color w:val="7F7F7F" w:themeColor="text1" w:themeTint="80"/>
                          <w:sz w:val="24"/>
                        </w:rPr>
                      </w:pPr>
                      <w:r>
                        <w:rPr>
                          <w:b/>
                          <w:color w:val="595959" w:themeColor="text1" w:themeTint="A6"/>
                          <w:sz w:val="24"/>
                        </w:rPr>
                        <w:t>R</w:t>
                      </w:r>
                      <w:r w:rsidR="003F1F75" w:rsidRPr="00E0200F">
                        <w:rPr>
                          <w:b/>
                          <w:color w:val="595959" w:themeColor="text1" w:themeTint="A6"/>
                          <w:sz w:val="24"/>
                        </w:rPr>
                        <w:t>eporting dashboard</w:t>
                      </w:r>
                      <w:r>
                        <w:rPr>
                          <w:b/>
                          <w:color w:val="595959" w:themeColor="text1" w:themeTint="A6"/>
                          <w:sz w:val="24"/>
                        </w:rPr>
                        <w:t xml:space="preserve"> </w:t>
                      </w:r>
                      <w:r w:rsidR="00303FFE">
                        <w:rPr>
                          <w:b/>
                          <w:color w:val="595959" w:themeColor="text1" w:themeTint="A6"/>
                          <w:sz w:val="24"/>
                        </w:rPr>
                        <w:t>–</w:t>
                      </w:r>
                      <w:r>
                        <w:rPr>
                          <w:b/>
                          <w:color w:val="595959" w:themeColor="text1" w:themeTint="A6"/>
                          <w:sz w:val="24"/>
                        </w:rPr>
                        <w:t xml:space="preserve"> </w:t>
                      </w:r>
                      <w:r w:rsidR="00303FFE">
                        <w:rPr>
                          <w:b/>
                          <w:color w:val="595959" w:themeColor="text1" w:themeTint="A6"/>
                          <w:sz w:val="24"/>
                        </w:rPr>
                        <w:t>Working Group on Public Debt</w:t>
                      </w:r>
                    </w:p>
                  </w:txbxContent>
                </v:textbox>
              </v:shape>
            </w:pict>
          </mc:Fallback>
        </mc:AlternateContent>
      </w:r>
      <w:r w:rsidR="00711677" w:rsidRPr="00711677">
        <w:rPr>
          <w:rFonts w:asciiTheme="majorHAnsi" w:eastAsia="Times New Roman" w:hAnsiTheme="majorHAnsi" w:cs="Times New Roman"/>
          <w:noProof/>
          <w:color w:val="244061" w:themeColor="accent1" w:themeShade="80"/>
          <w:sz w:val="24"/>
          <w:szCs w:val="24"/>
          <w:lang w:val="en-PH" w:eastAsia="en-PH"/>
        </w:rPr>
        <mc:AlternateContent>
          <mc:Choice Requires="wps">
            <w:drawing>
              <wp:anchor distT="0" distB="0" distL="114300" distR="114300" simplePos="0" relativeHeight="251652096" behindDoc="0" locked="0" layoutInCell="1" allowOverlap="1" wp14:anchorId="5AF14940" wp14:editId="759407C5">
                <wp:simplePos x="0" y="0"/>
                <wp:positionH relativeFrom="column">
                  <wp:posOffset>5952226</wp:posOffset>
                </wp:positionH>
                <wp:positionV relativeFrom="paragraph">
                  <wp:posOffset>-587950</wp:posOffset>
                </wp:positionV>
                <wp:extent cx="3372893" cy="1647645"/>
                <wp:effectExtent l="0" t="0" r="1841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2893" cy="1647645"/>
                        </a:xfrm>
                        <a:prstGeom prst="rect">
                          <a:avLst/>
                        </a:prstGeom>
                        <a:solidFill>
                          <a:srgbClr val="FFFFFF"/>
                        </a:solidFill>
                        <a:ln w="9525">
                          <a:solidFill>
                            <a:schemeClr val="bg1">
                              <a:lumMod val="50000"/>
                            </a:schemeClr>
                          </a:solidFill>
                          <a:miter lim="800000"/>
                          <a:headEnd/>
                          <a:tailEnd/>
                        </a:ln>
                      </wps:spPr>
                      <wps:txbx>
                        <w:txbxContent>
                          <w:p w14:paraId="780E1677" w14:textId="77777777" w:rsidR="004B67E0" w:rsidRDefault="00EA37AA" w:rsidP="009F715C">
                            <w:pPr>
                              <w:spacing w:after="40"/>
                              <w:jc w:val="center"/>
                            </w:pPr>
                            <w:r>
                              <w:t xml:space="preserve">Key to progress indicator </w:t>
                            </w:r>
                            <w:r w:rsidR="007B5200">
                              <w:t>colours</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17"/>
                              <w:gridCol w:w="3768"/>
                            </w:tblGrid>
                            <w:tr w:rsidR="00AC6896" w14:paraId="651F350D" w14:textId="77777777" w:rsidTr="00711677">
                              <w:tc>
                                <w:tcPr>
                                  <w:tcW w:w="817" w:type="dxa"/>
                                  <w:shd w:val="clear" w:color="auto" w:fill="92D050"/>
                                </w:tcPr>
                                <w:p w14:paraId="4F80B9E2" w14:textId="77777777" w:rsidR="004B67E0" w:rsidRDefault="004B67E0"/>
                              </w:tc>
                              <w:tc>
                                <w:tcPr>
                                  <w:tcW w:w="3768" w:type="dxa"/>
                                </w:tcPr>
                                <w:p w14:paraId="1867E740" w14:textId="77777777" w:rsidR="004B67E0" w:rsidRPr="00711677" w:rsidRDefault="004B67E0" w:rsidP="00711677">
                                  <w:pPr>
                                    <w:spacing w:line="240" w:lineRule="auto"/>
                                    <w:rPr>
                                      <w:sz w:val="18"/>
                                      <w:szCs w:val="18"/>
                                    </w:rPr>
                                  </w:pPr>
                                  <w:r w:rsidRPr="00711677">
                                    <w:rPr>
                                      <w:sz w:val="18"/>
                                      <w:szCs w:val="18"/>
                                    </w:rPr>
                                    <w:t>Initiative</w:t>
                                  </w:r>
                                  <w:r w:rsidR="00B91563" w:rsidRPr="00711677">
                                    <w:rPr>
                                      <w:sz w:val="18"/>
                                      <w:szCs w:val="18"/>
                                    </w:rPr>
                                    <w:t>s</w:t>
                                  </w:r>
                                  <w:r w:rsidR="0015101D" w:rsidRPr="00711677">
                                    <w:rPr>
                                      <w:sz w:val="18"/>
                                      <w:szCs w:val="18"/>
                                    </w:rPr>
                                    <w:t xml:space="preserve"> </w:t>
                                  </w:r>
                                  <w:r w:rsidR="007B5200" w:rsidRPr="00711677">
                                    <w:rPr>
                                      <w:sz w:val="18"/>
                                      <w:szCs w:val="18"/>
                                    </w:rPr>
                                    <w:t>/ project</w:t>
                                  </w:r>
                                  <w:r w:rsidR="00B91563" w:rsidRPr="00711677">
                                    <w:rPr>
                                      <w:sz w:val="18"/>
                                      <w:szCs w:val="18"/>
                                    </w:rPr>
                                    <w:t>s</w:t>
                                  </w:r>
                                  <w:r w:rsidRPr="00711677">
                                    <w:rPr>
                                      <w:sz w:val="18"/>
                                      <w:szCs w:val="18"/>
                                    </w:rPr>
                                    <w:t xml:space="preserve"> on schedule </w:t>
                                  </w:r>
                                </w:p>
                              </w:tc>
                            </w:tr>
                            <w:tr w:rsidR="00AC6896" w14:paraId="1461C669" w14:textId="77777777" w:rsidTr="00711677">
                              <w:tc>
                                <w:tcPr>
                                  <w:tcW w:w="817" w:type="dxa"/>
                                  <w:shd w:val="clear" w:color="auto" w:fill="FFC000"/>
                                </w:tcPr>
                                <w:p w14:paraId="79431367" w14:textId="77777777" w:rsidR="004B67E0" w:rsidRDefault="004B67E0"/>
                              </w:tc>
                              <w:tc>
                                <w:tcPr>
                                  <w:tcW w:w="3768" w:type="dxa"/>
                                </w:tcPr>
                                <w:p w14:paraId="1D4C54E6" w14:textId="77777777" w:rsidR="004B67E0" w:rsidRPr="00711677" w:rsidRDefault="004B67E0" w:rsidP="00711677">
                                  <w:pPr>
                                    <w:spacing w:line="240" w:lineRule="auto"/>
                                    <w:rPr>
                                      <w:sz w:val="18"/>
                                      <w:szCs w:val="18"/>
                                    </w:rPr>
                                  </w:pPr>
                                  <w:r w:rsidRPr="00711677">
                                    <w:rPr>
                                      <w:sz w:val="18"/>
                                      <w:szCs w:val="18"/>
                                    </w:rPr>
                                    <w:t>Initiative</w:t>
                                  </w:r>
                                  <w:r w:rsidR="00B91563" w:rsidRPr="00711677">
                                    <w:rPr>
                                      <w:sz w:val="18"/>
                                      <w:szCs w:val="18"/>
                                    </w:rPr>
                                    <w:t>s</w:t>
                                  </w:r>
                                  <w:r w:rsidR="0015101D" w:rsidRPr="00711677">
                                    <w:rPr>
                                      <w:sz w:val="18"/>
                                      <w:szCs w:val="18"/>
                                    </w:rPr>
                                    <w:t xml:space="preserve"> </w:t>
                                  </w:r>
                                  <w:r w:rsidR="007B5200" w:rsidRPr="00711677">
                                    <w:rPr>
                                      <w:sz w:val="18"/>
                                      <w:szCs w:val="18"/>
                                    </w:rPr>
                                    <w:t>/</w:t>
                                  </w:r>
                                  <w:r w:rsidR="0015101D" w:rsidRPr="00711677">
                                    <w:rPr>
                                      <w:sz w:val="18"/>
                                      <w:szCs w:val="18"/>
                                    </w:rPr>
                                    <w:t xml:space="preserve"> </w:t>
                                  </w:r>
                                  <w:r w:rsidR="007B5200" w:rsidRPr="00711677">
                                    <w:rPr>
                                      <w:sz w:val="18"/>
                                      <w:szCs w:val="18"/>
                                    </w:rPr>
                                    <w:t>project</w:t>
                                  </w:r>
                                  <w:r w:rsidR="00B91563" w:rsidRPr="00711677">
                                    <w:rPr>
                                      <w:sz w:val="18"/>
                                      <w:szCs w:val="18"/>
                                    </w:rPr>
                                    <w:t>s</w:t>
                                  </w:r>
                                  <w:r w:rsidRPr="00711677">
                                    <w:rPr>
                                      <w:sz w:val="18"/>
                                      <w:szCs w:val="18"/>
                                    </w:rPr>
                                    <w:t xml:space="preserve"> behind schedule</w:t>
                                  </w:r>
                                </w:p>
                              </w:tc>
                            </w:tr>
                            <w:tr w:rsidR="00AC6896" w14:paraId="356DA605" w14:textId="77777777" w:rsidTr="00711677">
                              <w:tc>
                                <w:tcPr>
                                  <w:tcW w:w="817" w:type="dxa"/>
                                  <w:shd w:val="clear" w:color="auto" w:fill="FF5757"/>
                                </w:tcPr>
                                <w:p w14:paraId="06056F3B" w14:textId="77777777" w:rsidR="004B67E0" w:rsidRDefault="004B67E0"/>
                              </w:tc>
                              <w:tc>
                                <w:tcPr>
                                  <w:tcW w:w="3768" w:type="dxa"/>
                                </w:tcPr>
                                <w:p w14:paraId="1988F00B" w14:textId="77777777" w:rsidR="004B67E0" w:rsidRPr="00711677" w:rsidRDefault="004B67E0" w:rsidP="00711677">
                                  <w:pPr>
                                    <w:spacing w:line="240" w:lineRule="auto"/>
                                    <w:rPr>
                                      <w:sz w:val="18"/>
                                      <w:szCs w:val="18"/>
                                    </w:rPr>
                                  </w:pPr>
                                  <w:r w:rsidRPr="00711677">
                                    <w:rPr>
                                      <w:sz w:val="18"/>
                                      <w:szCs w:val="18"/>
                                    </w:rPr>
                                    <w:t xml:space="preserve">Serious difficulties being experienced </w:t>
                                  </w:r>
                                  <w:r w:rsidR="00711677" w:rsidRPr="00711677">
                                    <w:rPr>
                                      <w:sz w:val="18"/>
                                      <w:szCs w:val="18"/>
                                    </w:rPr>
                                    <w:t>– Internal factors</w:t>
                                  </w:r>
                                </w:p>
                              </w:tc>
                            </w:tr>
                            <w:tr w:rsidR="00711677" w14:paraId="5805D037" w14:textId="77777777" w:rsidTr="00A75398">
                              <w:tc>
                                <w:tcPr>
                                  <w:tcW w:w="817" w:type="dxa"/>
                                  <w:shd w:val="clear" w:color="auto" w:fill="5F497A" w:themeFill="accent4" w:themeFillShade="BF"/>
                                </w:tcPr>
                                <w:p w14:paraId="4A86E75B" w14:textId="77777777" w:rsidR="00711677" w:rsidRDefault="00711677"/>
                              </w:tc>
                              <w:tc>
                                <w:tcPr>
                                  <w:tcW w:w="3768" w:type="dxa"/>
                                </w:tcPr>
                                <w:p w14:paraId="34666A39" w14:textId="77777777" w:rsidR="00711677" w:rsidRPr="00711677" w:rsidRDefault="00711677" w:rsidP="00711677">
                                  <w:pPr>
                                    <w:spacing w:line="240" w:lineRule="auto"/>
                                    <w:rPr>
                                      <w:sz w:val="18"/>
                                      <w:szCs w:val="18"/>
                                    </w:rPr>
                                  </w:pPr>
                                  <w:r w:rsidRPr="00711677">
                                    <w:rPr>
                                      <w:sz w:val="18"/>
                                      <w:szCs w:val="18"/>
                                    </w:rPr>
                                    <w:t>Serious difficulties being experienced – External factors (beyond the control of the WG)</w:t>
                                  </w:r>
                                </w:p>
                              </w:tc>
                            </w:tr>
                            <w:tr w:rsidR="00AC6896" w14:paraId="68F6BFFC" w14:textId="77777777" w:rsidTr="00711677">
                              <w:tc>
                                <w:tcPr>
                                  <w:tcW w:w="817" w:type="dxa"/>
                                  <w:shd w:val="clear" w:color="auto" w:fill="29D6FF"/>
                                </w:tcPr>
                                <w:p w14:paraId="7211C111" w14:textId="77777777" w:rsidR="004B67E0" w:rsidRDefault="004B67E0"/>
                              </w:tc>
                              <w:tc>
                                <w:tcPr>
                                  <w:tcW w:w="3768" w:type="dxa"/>
                                </w:tcPr>
                                <w:p w14:paraId="2E28A961" w14:textId="77777777" w:rsidR="004B67E0" w:rsidRPr="00711677" w:rsidRDefault="004B67E0" w:rsidP="00711677">
                                  <w:pPr>
                                    <w:spacing w:line="240" w:lineRule="auto"/>
                                    <w:rPr>
                                      <w:sz w:val="18"/>
                                      <w:szCs w:val="18"/>
                                    </w:rPr>
                                  </w:pPr>
                                  <w:r w:rsidRPr="00711677">
                                    <w:rPr>
                                      <w:sz w:val="18"/>
                                      <w:szCs w:val="18"/>
                                    </w:rPr>
                                    <w:t>Not yet scheduled to start</w:t>
                                  </w:r>
                                </w:p>
                              </w:tc>
                            </w:tr>
                            <w:tr w:rsidR="00AC6896" w14:paraId="2398EE18" w14:textId="77777777" w:rsidTr="00711677">
                              <w:tc>
                                <w:tcPr>
                                  <w:tcW w:w="817" w:type="dxa"/>
                                  <w:shd w:val="clear" w:color="auto" w:fill="404040" w:themeFill="text1" w:themeFillTint="BF"/>
                                </w:tcPr>
                                <w:p w14:paraId="5D3006E7" w14:textId="77777777" w:rsidR="004B67E0" w:rsidRDefault="004B67E0"/>
                              </w:tc>
                              <w:tc>
                                <w:tcPr>
                                  <w:tcW w:w="3768" w:type="dxa"/>
                                </w:tcPr>
                                <w:p w14:paraId="1685BC63" w14:textId="77777777" w:rsidR="004B67E0" w:rsidRDefault="004B67E0">
                                  <w:r>
                                    <w:t>Initiative</w:t>
                                  </w:r>
                                  <w:r w:rsidR="00B91563">
                                    <w:t xml:space="preserve">s </w:t>
                                  </w:r>
                                  <w:r>
                                    <w:t xml:space="preserve"> / project</w:t>
                                  </w:r>
                                  <w:r w:rsidR="00B91563">
                                    <w:t>s</w:t>
                                  </w:r>
                                  <w:r>
                                    <w:t xml:space="preserve"> completed </w:t>
                                  </w:r>
                                </w:p>
                              </w:tc>
                            </w:tr>
                          </w:tbl>
                          <w:p w14:paraId="3CF2D72D" w14:textId="77777777" w:rsidR="004B67E0" w:rsidRDefault="004B67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F14940" id="_x0000_s1027" type="#_x0000_t202" style="position:absolute;left:0;text-align:left;margin-left:468.7pt;margin-top:-46.3pt;width:265.6pt;height:129.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" strokecolor="#7f7f7f [1612]">
                <v:textbox>
                  <w:txbxContent>
                    <w:p w14:paraId="780E1677" w14:textId="77777777" w:rsidR="004B67E0" w:rsidRDefault="00EA37AA" w:rsidP="009F715C">
                      <w:pPr>
                        <w:spacing w:after="40"/>
                        <w:jc w:val="center"/>
                      </w:pPr>
                      <w:r>
                        <w:t xml:space="preserve">Key to progress indicator </w:t>
                      </w:r>
                      <w:r w:rsidR="007B5200">
                        <w:t>colours</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17"/>
                        <w:gridCol w:w="3768"/>
                      </w:tblGrid>
                      <w:tr w:rsidR="00AC6896" w14:paraId="651F350D" w14:textId="77777777" w:rsidTr="00711677">
                        <w:tc>
                          <w:tcPr>
                            <w:tcW w:w="817" w:type="dxa"/>
                            <w:shd w:val="clear" w:color="auto" w:fill="92D050"/>
                          </w:tcPr>
                          <w:p w14:paraId="4F80B9E2" w14:textId="77777777" w:rsidR="004B67E0" w:rsidRDefault="004B67E0"/>
                        </w:tc>
                        <w:tc>
                          <w:tcPr>
                            <w:tcW w:w="3768" w:type="dxa"/>
                          </w:tcPr>
                          <w:p w14:paraId="1867E740" w14:textId="77777777" w:rsidR="004B67E0" w:rsidRPr="00711677" w:rsidRDefault="004B67E0" w:rsidP="00711677">
                            <w:pPr>
                              <w:spacing w:line="240" w:lineRule="auto"/>
                              <w:rPr>
                                <w:sz w:val="18"/>
                                <w:szCs w:val="18"/>
                              </w:rPr>
                            </w:pPr>
                            <w:r w:rsidRPr="00711677">
                              <w:rPr>
                                <w:sz w:val="18"/>
                                <w:szCs w:val="18"/>
                              </w:rPr>
                              <w:t>Initiative</w:t>
                            </w:r>
                            <w:r w:rsidR="00B91563" w:rsidRPr="00711677">
                              <w:rPr>
                                <w:sz w:val="18"/>
                                <w:szCs w:val="18"/>
                              </w:rPr>
                              <w:t>s</w:t>
                            </w:r>
                            <w:r w:rsidR="0015101D" w:rsidRPr="00711677">
                              <w:rPr>
                                <w:sz w:val="18"/>
                                <w:szCs w:val="18"/>
                              </w:rPr>
                              <w:t xml:space="preserve"> </w:t>
                            </w:r>
                            <w:r w:rsidR="007B5200" w:rsidRPr="00711677">
                              <w:rPr>
                                <w:sz w:val="18"/>
                                <w:szCs w:val="18"/>
                              </w:rPr>
                              <w:t>/ project</w:t>
                            </w:r>
                            <w:r w:rsidR="00B91563" w:rsidRPr="00711677">
                              <w:rPr>
                                <w:sz w:val="18"/>
                                <w:szCs w:val="18"/>
                              </w:rPr>
                              <w:t>s</w:t>
                            </w:r>
                            <w:r w:rsidRPr="00711677">
                              <w:rPr>
                                <w:sz w:val="18"/>
                                <w:szCs w:val="18"/>
                              </w:rPr>
                              <w:t xml:space="preserve"> on schedule </w:t>
                            </w:r>
                          </w:p>
                        </w:tc>
                      </w:tr>
                      <w:tr w:rsidR="00AC6896" w14:paraId="1461C669" w14:textId="77777777" w:rsidTr="00711677">
                        <w:tc>
                          <w:tcPr>
                            <w:tcW w:w="817" w:type="dxa"/>
                            <w:shd w:val="clear" w:color="auto" w:fill="FFC000"/>
                          </w:tcPr>
                          <w:p w14:paraId="79431367" w14:textId="77777777" w:rsidR="004B67E0" w:rsidRDefault="004B67E0"/>
                        </w:tc>
                        <w:tc>
                          <w:tcPr>
                            <w:tcW w:w="3768" w:type="dxa"/>
                          </w:tcPr>
                          <w:p w14:paraId="1D4C54E6" w14:textId="77777777" w:rsidR="004B67E0" w:rsidRPr="00711677" w:rsidRDefault="004B67E0" w:rsidP="00711677">
                            <w:pPr>
                              <w:spacing w:line="240" w:lineRule="auto"/>
                              <w:rPr>
                                <w:sz w:val="18"/>
                                <w:szCs w:val="18"/>
                              </w:rPr>
                            </w:pPr>
                            <w:r w:rsidRPr="00711677">
                              <w:rPr>
                                <w:sz w:val="18"/>
                                <w:szCs w:val="18"/>
                              </w:rPr>
                              <w:t>Initiative</w:t>
                            </w:r>
                            <w:r w:rsidR="00B91563" w:rsidRPr="00711677">
                              <w:rPr>
                                <w:sz w:val="18"/>
                                <w:szCs w:val="18"/>
                              </w:rPr>
                              <w:t>s</w:t>
                            </w:r>
                            <w:r w:rsidR="0015101D" w:rsidRPr="00711677">
                              <w:rPr>
                                <w:sz w:val="18"/>
                                <w:szCs w:val="18"/>
                              </w:rPr>
                              <w:t xml:space="preserve"> </w:t>
                            </w:r>
                            <w:r w:rsidR="007B5200" w:rsidRPr="00711677">
                              <w:rPr>
                                <w:sz w:val="18"/>
                                <w:szCs w:val="18"/>
                              </w:rPr>
                              <w:t>/</w:t>
                            </w:r>
                            <w:r w:rsidR="0015101D" w:rsidRPr="00711677">
                              <w:rPr>
                                <w:sz w:val="18"/>
                                <w:szCs w:val="18"/>
                              </w:rPr>
                              <w:t xml:space="preserve"> </w:t>
                            </w:r>
                            <w:r w:rsidR="007B5200" w:rsidRPr="00711677">
                              <w:rPr>
                                <w:sz w:val="18"/>
                                <w:szCs w:val="18"/>
                              </w:rPr>
                              <w:t>project</w:t>
                            </w:r>
                            <w:r w:rsidR="00B91563" w:rsidRPr="00711677">
                              <w:rPr>
                                <w:sz w:val="18"/>
                                <w:szCs w:val="18"/>
                              </w:rPr>
                              <w:t>s</w:t>
                            </w:r>
                            <w:r w:rsidRPr="00711677">
                              <w:rPr>
                                <w:sz w:val="18"/>
                                <w:szCs w:val="18"/>
                              </w:rPr>
                              <w:t xml:space="preserve"> behind schedule</w:t>
                            </w:r>
                          </w:p>
                        </w:tc>
                      </w:tr>
                      <w:tr w:rsidR="00AC6896" w14:paraId="356DA605" w14:textId="77777777" w:rsidTr="00711677">
                        <w:tc>
                          <w:tcPr>
                            <w:tcW w:w="817" w:type="dxa"/>
                            <w:shd w:val="clear" w:color="auto" w:fill="FF5757"/>
                          </w:tcPr>
                          <w:p w14:paraId="06056F3B" w14:textId="77777777" w:rsidR="004B67E0" w:rsidRDefault="004B67E0"/>
                        </w:tc>
                        <w:tc>
                          <w:tcPr>
                            <w:tcW w:w="3768" w:type="dxa"/>
                          </w:tcPr>
                          <w:p w14:paraId="1988F00B" w14:textId="77777777" w:rsidR="004B67E0" w:rsidRPr="00711677" w:rsidRDefault="004B67E0" w:rsidP="00711677">
                            <w:pPr>
                              <w:spacing w:line="240" w:lineRule="auto"/>
                              <w:rPr>
                                <w:sz w:val="18"/>
                                <w:szCs w:val="18"/>
                              </w:rPr>
                            </w:pPr>
                            <w:r w:rsidRPr="00711677">
                              <w:rPr>
                                <w:sz w:val="18"/>
                                <w:szCs w:val="18"/>
                              </w:rPr>
                              <w:t xml:space="preserve">Serious difficulties being experienced </w:t>
                            </w:r>
                            <w:r w:rsidR="00711677" w:rsidRPr="00711677">
                              <w:rPr>
                                <w:sz w:val="18"/>
                                <w:szCs w:val="18"/>
                              </w:rPr>
                              <w:t>– Internal factors</w:t>
                            </w:r>
                          </w:p>
                        </w:tc>
                      </w:tr>
                      <w:tr w:rsidR="00711677" w14:paraId="5805D037" w14:textId="77777777" w:rsidTr="00A75398">
                        <w:tc>
                          <w:tcPr>
                            <w:tcW w:w="817" w:type="dxa"/>
                            <w:shd w:val="clear" w:color="auto" w:fill="5F497A" w:themeFill="accent4" w:themeFillShade="BF"/>
                          </w:tcPr>
                          <w:p w14:paraId="4A86E75B" w14:textId="77777777" w:rsidR="00711677" w:rsidRDefault="00711677"/>
                        </w:tc>
                        <w:tc>
                          <w:tcPr>
                            <w:tcW w:w="3768" w:type="dxa"/>
                          </w:tcPr>
                          <w:p w14:paraId="34666A39" w14:textId="77777777" w:rsidR="00711677" w:rsidRPr="00711677" w:rsidRDefault="00711677" w:rsidP="00711677">
                            <w:pPr>
                              <w:spacing w:line="240" w:lineRule="auto"/>
                              <w:rPr>
                                <w:sz w:val="18"/>
                                <w:szCs w:val="18"/>
                              </w:rPr>
                            </w:pPr>
                            <w:r w:rsidRPr="00711677">
                              <w:rPr>
                                <w:sz w:val="18"/>
                                <w:szCs w:val="18"/>
                              </w:rPr>
                              <w:t>Serious difficulties being experienced – External factors (beyond the control of the WG)</w:t>
                            </w:r>
                          </w:p>
                        </w:tc>
                      </w:tr>
                      <w:tr w:rsidR="00AC6896" w14:paraId="68F6BFFC" w14:textId="77777777" w:rsidTr="00711677">
                        <w:tc>
                          <w:tcPr>
                            <w:tcW w:w="817" w:type="dxa"/>
                            <w:shd w:val="clear" w:color="auto" w:fill="29D6FF"/>
                          </w:tcPr>
                          <w:p w14:paraId="7211C111" w14:textId="77777777" w:rsidR="004B67E0" w:rsidRDefault="004B67E0"/>
                        </w:tc>
                        <w:tc>
                          <w:tcPr>
                            <w:tcW w:w="3768" w:type="dxa"/>
                          </w:tcPr>
                          <w:p w14:paraId="2E28A961" w14:textId="77777777" w:rsidR="004B67E0" w:rsidRPr="00711677" w:rsidRDefault="004B67E0" w:rsidP="00711677">
                            <w:pPr>
                              <w:spacing w:line="240" w:lineRule="auto"/>
                              <w:rPr>
                                <w:sz w:val="18"/>
                                <w:szCs w:val="18"/>
                              </w:rPr>
                            </w:pPr>
                            <w:r w:rsidRPr="00711677">
                              <w:rPr>
                                <w:sz w:val="18"/>
                                <w:szCs w:val="18"/>
                              </w:rPr>
                              <w:t>Not yet scheduled to start</w:t>
                            </w:r>
                          </w:p>
                        </w:tc>
                      </w:tr>
                      <w:tr w:rsidR="00AC6896" w14:paraId="2398EE18" w14:textId="77777777" w:rsidTr="00711677">
                        <w:tc>
                          <w:tcPr>
                            <w:tcW w:w="817" w:type="dxa"/>
                            <w:shd w:val="clear" w:color="auto" w:fill="404040" w:themeFill="text1" w:themeFillTint="BF"/>
                          </w:tcPr>
                          <w:p w14:paraId="5D3006E7" w14:textId="77777777" w:rsidR="004B67E0" w:rsidRDefault="004B67E0"/>
                        </w:tc>
                        <w:tc>
                          <w:tcPr>
                            <w:tcW w:w="3768" w:type="dxa"/>
                          </w:tcPr>
                          <w:p w14:paraId="1685BC63" w14:textId="77777777" w:rsidR="004B67E0" w:rsidRDefault="004B67E0">
                            <w:r>
                              <w:t>Initiative</w:t>
                            </w:r>
                            <w:r w:rsidR="00B91563">
                              <w:t xml:space="preserve">s </w:t>
                            </w:r>
                            <w:r>
                              <w:t xml:space="preserve"> / project</w:t>
                            </w:r>
                            <w:r w:rsidR="00B91563">
                              <w:t>s</w:t>
                            </w:r>
                            <w:r>
                              <w:t xml:space="preserve"> completed </w:t>
                            </w:r>
                          </w:p>
                        </w:tc>
                      </w:tr>
                    </w:tbl>
                    <w:p w14:paraId="3CF2D72D" w14:textId="77777777" w:rsidR="004B67E0" w:rsidRDefault="004B67E0"/>
                  </w:txbxContent>
                </v:textbox>
              </v:shape>
            </w:pict>
          </mc:Fallback>
        </mc:AlternateContent>
      </w:r>
      <w:r w:rsidR="00711677" w:rsidRPr="00711677">
        <w:rPr>
          <w:rFonts w:asciiTheme="majorHAnsi" w:eastAsia="Times New Roman" w:hAnsiTheme="majorHAnsi" w:cs="Times New Roman"/>
          <w:b/>
          <w:noProof/>
          <w:color w:val="008080"/>
          <w:sz w:val="24"/>
          <w:szCs w:val="24"/>
          <w:lang w:val="en-PH" w:eastAsia="en-PH"/>
        </w:rPr>
        <mc:AlternateContent>
          <mc:Choice Requires="wps">
            <w:drawing>
              <wp:anchor distT="0" distB="0" distL="114300" distR="114300" simplePos="0" relativeHeight="251660288" behindDoc="0" locked="0" layoutInCell="1" allowOverlap="1" wp14:anchorId="4AFB0382" wp14:editId="1AC25E48">
                <wp:simplePos x="0" y="0"/>
                <wp:positionH relativeFrom="column">
                  <wp:posOffset>3614468</wp:posOffset>
                </wp:positionH>
                <wp:positionV relativeFrom="paragraph">
                  <wp:posOffset>-449580</wp:posOffset>
                </wp:positionV>
                <wp:extent cx="1863306" cy="1403985"/>
                <wp:effectExtent l="0" t="0" r="381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306" cy="1403985"/>
                        </a:xfrm>
                        <a:prstGeom prst="rect">
                          <a:avLst/>
                        </a:prstGeom>
                        <a:solidFill>
                          <a:srgbClr val="FFFFFF"/>
                        </a:solidFill>
                        <a:ln w="9525">
                          <a:noFill/>
                          <a:miter lim="800000"/>
                          <a:headEnd/>
                          <a:tailEnd/>
                        </a:ln>
                      </wps:spPr>
                      <wps:txbx>
                        <w:txbxContent>
                          <w:p w14:paraId="641FC184" w14:textId="291EA045" w:rsidR="000808AF" w:rsidRPr="000808AF" w:rsidRDefault="00650D93" w:rsidP="006E3AE0">
                            <w:pPr>
                              <w:jc w:val="center"/>
                              <w:rPr>
                                <w:rFonts w:ascii="Arial Narrow" w:hAnsi="Arial Narrow"/>
                                <w:b/>
                                <w:color w:val="C00000"/>
                              </w:rPr>
                            </w:pPr>
                            <w:r>
                              <w:rPr>
                                <w:rFonts w:asciiTheme="majorHAnsi" w:eastAsia="Times New Roman" w:hAnsiTheme="majorHAnsi" w:cs="Times New Roman"/>
                                <w:color w:val="244061" w:themeColor="accent1" w:themeShade="80"/>
                                <w:sz w:val="24"/>
                                <w:szCs w:val="24"/>
                                <w:lang w:val="en-US"/>
                              </w:rPr>
                              <w:t>WGPD</w:t>
                            </w:r>
                            <w:r w:rsidRPr="00711677">
                              <w:rPr>
                                <w:rFonts w:asciiTheme="majorHAnsi" w:eastAsia="Times New Roman" w:hAnsiTheme="majorHAnsi" w:cs="Times New Roman"/>
                                <w:color w:val="244061" w:themeColor="accent1" w:themeShade="80"/>
                                <w:sz w:val="24"/>
                                <w:szCs w:val="24"/>
                                <w:lang w:val="en-US"/>
                              </w:rPr>
                              <w:t xml:space="preserve"> </w:t>
                            </w:r>
                            <w:r w:rsidR="0096602A">
                              <w:rPr>
                                <w:rFonts w:asciiTheme="majorHAnsi" w:eastAsia="Times New Roman" w:hAnsiTheme="majorHAnsi" w:cs="Times New Roman"/>
                                <w:color w:val="244061" w:themeColor="accent1" w:themeShade="80"/>
                                <w:sz w:val="24"/>
                                <w:szCs w:val="24"/>
                                <w:lang w:val="en-US"/>
                              </w:rPr>
                              <w:t>Strategic</w:t>
                            </w:r>
                            <w:r w:rsidR="0096602A" w:rsidRPr="00711677">
                              <w:rPr>
                                <w:rFonts w:asciiTheme="majorHAnsi" w:eastAsia="Times New Roman" w:hAnsiTheme="majorHAnsi" w:cs="Times New Roman"/>
                                <w:color w:val="244061" w:themeColor="accent1" w:themeShade="80"/>
                                <w:sz w:val="24"/>
                                <w:szCs w:val="24"/>
                                <w:lang w:val="en-US"/>
                              </w:rPr>
                              <w:t xml:space="preserve"> </w:t>
                            </w:r>
                            <w:r>
                              <w:rPr>
                                <w:rFonts w:asciiTheme="majorHAnsi" w:eastAsia="Times New Roman" w:hAnsiTheme="majorHAnsi" w:cs="Times New Roman"/>
                                <w:color w:val="244061" w:themeColor="accent1" w:themeShade="80"/>
                                <w:sz w:val="24"/>
                                <w:szCs w:val="24"/>
                                <w:lang w:val="en-US"/>
                              </w:rPr>
                              <w:t>P</w:t>
                            </w:r>
                            <w:r w:rsidR="00711677" w:rsidRPr="00711677">
                              <w:rPr>
                                <w:rFonts w:asciiTheme="majorHAnsi" w:eastAsia="Times New Roman" w:hAnsiTheme="majorHAnsi" w:cs="Times New Roman"/>
                                <w:color w:val="244061" w:themeColor="accent1" w:themeShade="80"/>
                                <w:sz w:val="24"/>
                                <w:szCs w:val="24"/>
                                <w:lang w:val="en-US"/>
                              </w:rPr>
                              <w:t>lan 2017</w:t>
                            </w:r>
                            <w:r w:rsidR="00711677">
                              <w:rPr>
                                <w:rFonts w:asciiTheme="majorHAnsi" w:eastAsia="Times New Roman" w:hAnsiTheme="majorHAnsi" w:cs="Times New Roman"/>
                                <w:color w:val="244061" w:themeColor="accent1" w:themeShade="80"/>
                                <w:sz w:val="24"/>
                                <w:szCs w:val="24"/>
                                <w:lang w:val="en-US"/>
                              </w:rPr>
                              <w:t>-</w:t>
                            </w:r>
                            <w:r w:rsidR="0096602A">
                              <w:rPr>
                                <w:rFonts w:asciiTheme="majorHAnsi" w:eastAsia="Times New Roman" w:hAnsiTheme="majorHAnsi" w:cs="Times New Roman"/>
                                <w:color w:val="244061" w:themeColor="accent1" w:themeShade="80"/>
                                <w:sz w:val="24"/>
                                <w:szCs w:val="24"/>
                                <w:lang w:val="en-US"/>
                              </w:rPr>
                              <w:t>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FB0382" id="_x0000_s1028" type="#_x0000_t202" style="position:absolute;left:0;text-align:left;margin-left:284.6pt;margin-top:-35.4pt;width:146.7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" stroked="f">
                <v:textbox style="mso-fit-shape-to-text:t">
                  <w:txbxContent>
                    <w:p w14:paraId="641FC184" w14:textId="291EA045" w:rsidR="000808AF" w:rsidRPr="000808AF" w:rsidRDefault="00650D93" w:rsidP="006E3AE0">
                      <w:pPr>
                        <w:jc w:val="center"/>
                        <w:rPr>
                          <w:rFonts w:ascii="Arial Narrow" w:hAnsi="Arial Narrow"/>
                          <w:b/>
                          <w:color w:val="C00000"/>
                        </w:rPr>
                      </w:pPr>
                      <w:r>
                        <w:rPr>
                          <w:rFonts w:asciiTheme="majorHAnsi" w:eastAsia="Times New Roman" w:hAnsiTheme="majorHAnsi" w:cs="Times New Roman"/>
                          <w:color w:val="244061" w:themeColor="accent1" w:themeShade="80"/>
                          <w:sz w:val="24"/>
                          <w:szCs w:val="24"/>
                          <w:lang w:val="en-US"/>
                        </w:rPr>
                        <w:t>WGPD</w:t>
                      </w:r>
                      <w:r w:rsidRPr="00711677">
                        <w:rPr>
                          <w:rFonts w:asciiTheme="majorHAnsi" w:eastAsia="Times New Roman" w:hAnsiTheme="majorHAnsi" w:cs="Times New Roman"/>
                          <w:color w:val="244061" w:themeColor="accent1" w:themeShade="80"/>
                          <w:sz w:val="24"/>
                          <w:szCs w:val="24"/>
                          <w:lang w:val="en-US"/>
                        </w:rPr>
                        <w:t xml:space="preserve"> </w:t>
                      </w:r>
                      <w:r w:rsidR="0096602A">
                        <w:rPr>
                          <w:rFonts w:asciiTheme="majorHAnsi" w:eastAsia="Times New Roman" w:hAnsiTheme="majorHAnsi" w:cs="Times New Roman"/>
                          <w:color w:val="244061" w:themeColor="accent1" w:themeShade="80"/>
                          <w:sz w:val="24"/>
                          <w:szCs w:val="24"/>
                          <w:lang w:val="en-US"/>
                        </w:rPr>
                        <w:t>Strategic</w:t>
                      </w:r>
                      <w:r w:rsidR="0096602A" w:rsidRPr="00711677">
                        <w:rPr>
                          <w:rFonts w:asciiTheme="majorHAnsi" w:eastAsia="Times New Roman" w:hAnsiTheme="majorHAnsi" w:cs="Times New Roman"/>
                          <w:color w:val="244061" w:themeColor="accent1" w:themeShade="80"/>
                          <w:sz w:val="24"/>
                          <w:szCs w:val="24"/>
                          <w:lang w:val="en-US"/>
                        </w:rPr>
                        <w:t xml:space="preserve"> </w:t>
                      </w:r>
                      <w:r>
                        <w:rPr>
                          <w:rFonts w:asciiTheme="majorHAnsi" w:eastAsia="Times New Roman" w:hAnsiTheme="majorHAnsi" w:cs="Times New Roman"/>
                          <w:color w:val="244061" w:themeColor="accent1" w:themeShade="80"/>
                          <w:sz w:val="24"/>
                          <w:szCs w:val="24"/>
                          <w:lang w:val="en-US"/>
                        </w:rPr>
                        <w:t>P</w:t>
                      </w:r>
                      <w:r w:rsidR="00711677" w:rsidRPr="00711677">
                        <w:rPr>
                          <w:rFonts w:asciiTheme="majorHAnsi" w:eastAsia="Times New Roman" w:hAnsiTheme="majorHAnsi" w:cs="Times New Roman"/>
                          <w:color w:val="244061" w:themeColor="accent1" w:themeShade="80"/>
                          <w:sz w:val="24"/>
                          <w:szCs w:val="24"/>
                          <w:lang w:val="en-US"/>
                        </w:rPr>
                        <w:t>lan 2017</w:t>
                      </w:r>
                      <w:r w:rsidR="00711677">
                        <w:rPr>
                          <w:rFonts w:asciiTheme="majorHAnsi" w:eastAsia="Times New Roman" w:hAnsiTheme="majorHAnsi" w:cs="Times New Roman"/>
                          <w:color w:val="244061" w:themeColor="accent1" w:themeShade="80"/>
                          <w:sz w:val="24"/>
                          <w:szCs w:val="24"/>
                          <w:lang w:val="en-US"/>
                        </w:rPr>
                        <w:t>-</w:t>
                      </w:r>
                      <w:r w:rsidR="0096602A">
                        <w:rPr>
                          <w:rFonts w:asciiTheme="majorHAnsi" w:eastAsia="Times New Roman" w:hAnsiTheme="majorHAnsi" w:cs="Times New Roman"/>
                          <w:color w:val="244061" w:themeColor="accent1" w:themeShade="80"/>
                          <w:sz w:val="24"/>
                          <w:szCs w:val="24"/>
                          <w:lang w:val="en-US"/>
                        </w:rPr>
                        <w:t>2022</w:t>
                      </w:r>
                    </w:p>
                  </w:txbxContent>
                </v:textbox>
              </v:shape>
            </w:pict>
          </mc:Fallback>
        </mc:AlternateContent>
      </w:r>
    </w:p>
    <w:p w14:paraId="52CB2523" w14:textId="77777777" w:rsidR="00711677" w:rsidRDefault="009F715C" w:rsidP="001F3ED5">
      <w:pPr>
        <w:spacing w:after="120" w:line="240" w:lineRule="auto"/>
        <w:ind w:left="720" w:hanging="862"/>
        <w:rPr>
          <w:rFonts w:asciiTheme="majorHAnsi" w:eastAsia="Times New Roman" w:hAnsiTheme="majorHAnsi" w:cs="Times New Roman"/>
          <w:b/>
          <w:color w:val="008080"/>
          <w:sz w:val="20"/>
          <w:szCs w:val="20"/>
          <w:lang w:val="en-US"/>
        </w:rPr>
      </w:pPr>
      <w:r w:rsidRPr="003A55C8">
        <w:rPr>
          <w:rFonts w:asciiTheme="majorHAnsi" w:eastAsia="Times New Roman" w:hAnsiTheme="majorHAnsi" w:cs="Times New Roman"/>
          <w:b/>
          <w:color w:val="008080"/>
          <w:sz w:val="20"/>
          <w:szCs w:val="20"/>
          <w:lang w:val="en-US"/>
        </w:rPr>
        <w:t xml:space="preserve">     </w:t>
      </w:r>
    </w:p>
    <w:p w14:paraId="565C8F66" w14:textId="54AC51FF" w:rsidR="006D331D" w:rsidRDefault="009F715C" w:rsidP="001F3ED5">
      <w:pPr>
        <w:spacing w:after="120" w:line="240" w:lineRule="auto"/>
        <w:ind w:left="720" w:hanging="862"/>
        <w:rPr>
          <w:rFonts w:asciiTheme="majorHAnsi" w:eastAsia="Times New Roman" w:hAnsiTheme="majorHAnsi" w:cs="Times New Roman"/>
          <w:b/>
          <w:color w:val="008080"/>
          <w:sz w:val="20"/>
          <w:szCs w:val="20"/>
          <w:lang w:val="en-US"/>
        </w:rPr>
      </w:pPr>
      <w:r w:rsidRPr="003A55C8">
        <w:rPr>
          <w:rFonts w:asciiTheme="majorHAnsi" w:eastAsia="Times New Roman" w:hAnsiTheme="majorHAnsi" w:cs="Times New Roman"/>
          <w:b/>
          <w:color w:val="008080"/>
          <w:sz w:val="20"/>
          <w:szCs w:val="20"/>
          <w:lang w:val="en-US"/>
        </w:rPr>
        <w:t xml:space="preserve"> </w:t>
      </w:r>
      <w:r w:rsidR="007B5200" w:rsidRPr="003A55C8">
        <w:rPr>
          <w:rFonts w:asciiTheme="majorHAnsi" w:eastAsia="Times New Roman" w:hAnsiTheme="majorHAnsi" w:cs="Times New Roman"/>
          <w:b/>
          <w:color w:val="008080"/>
          <w:sz w:val="20"/>
          <w:szCs w:val="20"/>
          <w:lang w:val="en-US"/>
        </w:rPr>
        <w:t>Strategic objectives review</w:t>
      </w:r>
      <w:r w:rsidR="0015101D" w:rsidRPr="003A55C8">
        <w:rPr>
          <w:rFonts w:asciiTheme="majorHAnsi" w:eastAsia="Times New Roman" w:hAnsiTheme="majorHAnsi" w:cs="Times New Roman"/>
          <w:b/>
          <w:color w:val="008080"/>
          <w:sz w:val="20"/>
          <w:szCs w:val="20"/>
          <w:lang w:val="en-US"/>
        </w:rPr>
        <w:t xml:space="preserve"> </w:t>
      </w:r>
      <w:r w:rsidR="007B5200" w:rsidRPr="003A55C8">
        <w:rPr>
          <w:rFonts w:asciiTheme="majorHAnsi" w:eastAsia="Times New Roman" w:hAnsiTheme="majorHAnsi" w:cs="Times New Roman"/>
          <w:b/>
          <w:color w:val="008080"/>
          <w:sz w:val="20"/>
          <w:szCs w:val="20"/>
          <w:lang w:val="en-US"/>
        </w:rPr>
        <w:t>r</w:t>
      </w:r>
      <w:r w:rsidR="000808AF" w:rsidRPr="003A55C8">
        <w:rPr>
          <w:rFonts w:asciiTheme="majorHAnsi" w:eastAsia="Times New Roman" w:hAnsiTheme="majorHAnsi" w:cs="Times New Roman"/>
          <w:b/>
          <w:color w:val="008080"/>
          <w:sz w:val="20"/>
          <w:szCs w:val="20"/>
          <w:lang w:val="en-US"/>
        </w:rPr>
        <w:t>eport (</w:t>
      </w:r>
      <w:r w:rsidR="00303FFE">
        <w:rPr>
          <w:rFonts w:asciiTheme="majorHAnsi" w:eastAsia="Times New Roman" w:hAnsiTheme="majorHAnsi" w:cs="Times New Roman"/>
          <w:b/>
          <w:color w:val="008080"/>
          <w:sz w:val="20"/>
          <w:szCs w:val="20"/>
          <w:lang w:val="en-US"/>
        </w:rPr>
        <w:t xml:space="preserve">As of </w:t>
      </w:r>
      <w:r w:rsidR="00683875">
        <w:rPr>
          <w:rFonts w:asciiTheme="majorHAnsi" w:eastAsia="Times New Roman" w:hAnsiTheme="majorHAnsi" w:cs="Times New Roman"/>
          <w:b/>
          <w:color w:val="008080"/>
          <w:sz w:val="20"/>
          <w:szCs w:val="20"/>
          <w:lang w:val="en-US"/>
        </w:rPr>
        <w:t>17</w:t>
      </w:r>
      <w:r w:rsidR="00303FFE">
        <w:rPr>
          <w:rFonts w:asciiTheme="majorHAnsi" w:eastAsia="Times New Roman" w:hAnsiTheme="majorHAnsi" w:cs="Times New Roman"/>
          <w:b/>
          <w:color w:val="008080"/>
          <w:sz w:val="20"/>
          <w:szCs w:val="20"/>
          <w:lang w:val="en-US"/>
        </w:rPr>
        <w:t xml:space="preserve"> </w:t>
      </w:r>
      <w:r w:rsidR="00805431">
        <w:rPr>
          <w:rFonts w:asciiTheme="majorHAnsi" w:eastAsia="Times New Roman" w:hAnsiTheme="majorHAnsi" w:cs="Times New Roman"/>
          <w:b/>
          <w:color w:val="008080"/>
          <w:sz w:val="20"/>
          <w:szCs w:val="20"/>
          <w:lang w:val="en-US"/>
        </w:rPr>
        <w:t>Aug</w:t>
      </w:r>
      <w:r w:rsidR="00303FFE">
        <w:rPr>
          <w:rFonts w:asciiTheme="majorHAnsi" w:eastAsia="Times New Roman" w:hAnsiTheme="majorHAnsi" w:cs="Times New Roman"/>
          <w:b/>
          <w:color w:val="008080"/>
          <w:sz w:val="20"/>
          <w:szCs w:val="20"/>
          <w:lang w:val="en-US"/>
        </w:rPr>
        <w:t xml:space="preserve"> 2017</w:t>
      </w:r>
      <w:r w:rsidR="000808AF" w:rsidRPr="003A55C8">
        <w:rPr>
          <w:rFonts w:asciiTheme="majorHAnsi" w:eastAsia="Times New Roman" w:hAnsiTheme="majorHAnsi" w:cs="Times New Roman"/>
          <w:b/>
          <w:color w:val="008080"/>
          <w:sz w:val="20"/>
          <w:szCs w:val="20"/>
          <w:lang w:val="en-US"/>
        </w:rPr>
        <w:t>)</w:t>
      </w:r>
    </w:p>
    <w:p w14:paraId="37F6142C" w14:textId="77777777" w:rsidR="00ED2F6A" w:rsidRDefault="00ED2F6A" w:rsidP="001F3ED5">
      <w:pPr>
        <w:spacing w:after="120" w:line="240" w:lineRule="auto"/>
        <w:ind w:left="720" w:hanging="862"/>
        <w:rPr>
          <w:rFonts w:asciiTheme="majorHAnsi" w:eastAsia="Times New Roman" w:hAnsiTheme="majorHAnsi" w:cs="Times New Roman"/>
          <w:sz w:val="20"/>
          <w:szCs w:val="20"/>
          <w:lang w:val="en-US"/>
        </w:rPr>
      </w:pPr>
    </w:p>
    <w:p w14:paraId="7670A6D6" w14:textId="77777777" w:rsidR="00711677" w:rsidRPr="001F3ED5" w:rsidRDefault="00711677" w:rsidP="001F3ED5">
      <w:pPr>
        <w:spacing w:after="120" w:line="240" w:lineRule="auto"/>
        <w:ind w:left="720" w:hanging="862"/>
        <w:rPr>
          <w:rFonts w:asciiTheme="majorHAnsi" w:eastAsia="Times New Roman" w:hAnsiTheme="majorHAnsi" w:cs="Times New Roman"/>
          <w:sz w:val="20"/>
          <w:szCs w:val="20"/>
          <w:lang w:val="en-US"/>
        </w:rPr>
      </w:pPr>
    </w:p>
    <w:tbl>
      <w:tblPr>
        <w:tblStyle w:val="TableGrid"/>
        <w:tblW w:w="0" w:type="auto"/>
        <w:tblInd w:w="-356" w:type="dxa"/>
        <w:tblCellMar>
          <w:left w:w="115" w:type="dxa"/>
          <w:right w:w="115" w:type="dxa"/>
        </w:tblCellMar>
        <w:tblLook w:val="04A0" w:firstRow="1" w:lastRow="0" w:firstColumn="1" w:lastColumn="0" w:noHBand="0" w:noVBand="1"/>
      </w:tblPr>
      <w:tblGrid>
        <w:gridCol w:w="2246"/>
        <w:gridCol w:w="4021"/>
        <w:gridCol w:w="3384"/>
        <w:gridCol w:w="4650"/>
      </w:tblGrid>
      <w:tr w:rsidR="00711677" w:rsidRPr="009A13F9" w14:paraId="485C499E" w14:textId="77777777" w:rsidTr="00CF728C">
        <w:trPr>
          <w:tblHeader/>
        </w:trPr>
        <w:tc>
          <w:tcPr>
            <w:tcW w:w="2246" w:type="dxa"/>
            <w:shd w:val="clear" w:color="auto" w:fill="244061" w:themeFill="accent1" w:themeFillShade="80"/>
            <w:vAlign w:val="center"/>
          </w:tcPr>
          <w:p w14:paraId="5ABD4B30" w14:textId="2BBBF75F" w:rsidR="00711677" w:rsidRPr="009A13F9" w:rsidRDefault="00711677" w:rsidP="006038D7">
            <w:pPr>
              <w:spacing w:line="240" w:lineRule="auto"/>
              <w:jc w:val="center"/>
              <w:rPr>
                <w:rFonts w:asciiTheme="majorHAnsi" w:hAnsiTheme="majorHAnsi"/>
                <w:b/>
                <w:color w:val="FFFFFF" w:themeColor="background1"/>
              </w:rPr>
            </w:pPr>
            <w:r w:rsidRPr="009A13F9">
              <w:rPr>
                <w:rFonts w:asciiTheme="majorHAnsi" w:hAnsiTheme="majorHAnsi"/>
                <w:b/>
                <w:color w:val="FFFFFF" w:themeColor="background1"/>
              </w:rPr>
              <w:t xml:space="preserve">Strategic </w:t>
            </w:r>
            <w:r w:rsidR="00FC140C">
              <w:rPr>
                <w:rFonts w:asciiTheme="majorHAnsi" w:hAnsiTheme="majorHAnsi"/>
                <w:b/>
                <w:color w:val="FFFFFF" w:themeColor="background1"/>
              </w:rPr>
              <w:t>Goal</w:t>
            </w:r>
            <w:r w:rsidR="0037437E">
              <w:rPr>
                <w:rFonts w:asciiTheme="majorHAnsi" w:hAnsiTheme="majorHAnsi"/>
                <w:b/>
                <w:color w:val="FFFFFF" w:themeColor="background1"/>
              </w:rPr>
              <w:t>s</w:t>
            </w:r>
          </w:p>
          <w:p w14:paraId="544D97C8" w14:textId="5ABB62AE" w:rsidR="003439C4" w:rsidRDefault="00711677" w:rsidP="006038D7">
            <w:pPr>
              <w:spacing w:line="240" w:lineRule="auto"/>
              <w:jc w:val="center"/>
              <w:rPr>
                <w:rFonts w:asciiTheme="majorHAnsi" w:hAnsiTheme="majorHAnsi"/>
                <w:color w:val="FFFFFF" w:themeColor="background1"/>
              </w:rPr>
            </w:pPr>
            <w:r w:rsidRPr="009A13F9">
              <w:rPr>
                <w:rFonts w:asciiTheme="majorHAnsi" w:hAnsiTheme="majorHAnsi"/>
                <w:color w:val="FFFFFF" w:themeColor="background1"/>
              </w:rPr>
              <w:t>(</w:t>
            </w:r>
            <w:r w:rsidR="002F410A">
              <w:rPr>
                <w:rFonts w:asciiTheme="majorHAnsi" w:hAnsiTheme="majorHAnsi"/>
                <w:color w:val="FFFFFF" w:themeColor="background1"/>
              </w:rPr>
              <w:t xml:space="preserve">as per </w:t>
            </w:r>
            <w:r w:rsidR="0037437E">
              <w:rPr>
                <w:rFonts w:asciiTheme="majorHAnsi" w:hAnsiTheme="majorHAnsi"/>
                <w:color w:val="FFFFFF" w:themeColor="background1"/>
              </w:rPr>
              <w:t>WGPD SP</w:t>
            </w:r>
            <w:r w:rsidR="00FC140C">
              <w:rPr>
                <w:rFonts w:asciiTheme="majorHAnsi" w:hAnsiTheme="majorHAnsi"/>
                <w:color w:val="FFFFFF" w:themeColor="background1"/>
              </w:rPr>
              <w:t xml:space="preserve"> </w:t>
            </w:r>
          </w:p>
          <w:p w14:paraId="61BDB7E8" w14:textId="758F64B7" w:rsidR="00711677" w:rsidRPr="009A13F9" w:rsidRDefault="00FC140C" w:rsidP="006038D7">
            <w:pPr>
              <w:spacing w:line="240" w:lineRule="auto"/>
              <w:jc w:val="center"/>
              <w:rPr>
                <w:rFonts w:asciiTheme="majorHAnsi" w:hAnsiTheme="majorHAnsi"/>
                <w:color w:val="FFFFFF" w:themeColor="background1"/>
              </w:rPr>
            </w:pPr>
            <w:r>
              <w:rPr>
                <w:rFonts w:asciiTheme="majorHAnsi" w:hAnsiTheme="majorHAnsi"/>
                <w:color w:val="FFFFFF" w:themeColor="background1"/>
              </w:rPr>
              <w:t>2017-20</w:t>
            </w:r>
            <w:r w:rsidR="0037437E">
              <w:rPr>
                <w:rFonts w:asciiTheme="majorHAnsi" w:hAnsiTheme="majorHAnsi"/>
                <w:color w:val="FFFFFF" w:themeColor="background1"/>
              </w:rPr>
              <w:t>22</w:t>
            </w:r>
            <w:r w:rsidR="00711677" w:rsidRPr="009A13F9">
              <w:rPr>
                <w:rFonts w:asciiTheme="majorHAnsi" w:hAnsiTheme="majorHAnsi"/>
                <w:color w:val="FFFFFF" w:themeColor="background1"/>
              </w:rPr>
              <w:t>)</w:t>
            </w:r>
          </w:p>
        </w:tc>
        <w:tc>
          <w:tcPr>
            <w:tcW w:w="4021" w:type="dxa"/>
            <w:shd w:val="clear" w:color="auto" w:fill="244061" w:themeFill="accent1" w:themeFillShade="80"/>
            <w:vAlign w:val="center"/>
          </w:tcPr>
          <w:p w14:paraId="464536F1" w14:textId="77777777" w:rsidR="00711677" w:rsidRPr="009A13F9" w:rsidRDefault="00711677" w:rsidP="006038D7">
            <w:pPr>
              <w:spacing w:line="240" w:lineRule="auto"/>
              <w:jc w:val="center"/>
              <w:rPr>
                <w:rFonts w:asciiTheme="majorHAnsi" w:hAnsiTheme="majorHAnsi"/>
                <w:b/>
                <w:color w:val="FFFFFF" w:themeColor="background1"/>
              </w:rPr>
            </w:pPr>
            <w:r w:rsidRPr="009A13F9">
              <w:rPr>
                <w:rFonts w:asciiTheme="majorHAnsi" w:hAnsiTheme="majorHAnsi"/>
                <w:b/>
                <w:color w:val="FFFFFF" w:themeColor="background1"/>
              </w:rPr>
              <w:t xml:space="preserve">Strategies &amp; initiatives </w:t>
            </w:r>
          </w:p>
          <w:p w14:paraId="68599876" w14:textId="77777777" w:rsidR="00711677" w:rsidRPr="009A13F9" w:rsidRDefault="00711677" w:rsidP="006038D7">
            <w:pPr>
              <w:spacing w:line="240" w:lineRule="auto"/>
              <w:jc w:val="center"/>
              <w:rPr>
                <w:rFonts w:asciiTheme="majorHAnsi" w:hAnsiTheme="majorHAnsi"/>
                <w:color w:val="FFFFFF" w:themeColor="background1"/>
              </w:rPr>
            </w:pPr>
            <w:r w:rsidRPr="009A13F9">
              <w:rPr>
                <w:rFonts w:asciiTheme="majorHAnsi" w:hAnsiTheme="majorHAnsi"/>
                <w:color w:val="FFFFFF" w:themeColor="background1"/>
              </w:rPr>
              <w:t xml:space="preserve">(as per </w:t>
            </w:r>
            <w:r w:rsidR="00CB49E6">
              <w:rPr>
                <w:rFonts w:asciiTheme="majorHAnsi" w:hAnsiTheme="majorHAnsi"/>
                <w:color w:val="FFFFFF" w:themeColor="background1"/>
              </w:rPr>
              <w:t xml:space="preserve">WGPD </w:t>
            </w:r>
            <w:r w:rsidRPr="009A13F9">
              <w:rPr>
                <w:rFonts w:asciiTheme="majorHAnsi" w:hAnsiTheme="majorHAnsi"/>
                <w:color w:val="FFFFFF" w:themeColor="background1"/>
              </w:rPr>
              <w:t>SP 2017-</w:t>
            </w:r>
            <w:r w:rsidR="00CB49E6">
              <w:rPr>
                <w:rFonts w:asciiTheme="majorHAnsi" w:hAnsiTheme="majorHAnsi"/>
                <w:color w:val="FFFFFF" w:themeColor="background1"/>
              </w:rPr>
              <w:t>20</w:t>
            </w:r>
            <w:r w:rsidRPr="009A13F9">
              <w:rPr>
                <w:rFonts w:asciiTheme="majorHAnsi" w:hAnsiTheme="majorHAnsi"/>
                <w:color w:val="FFFFFF" w:themeColor="background1"/>
              </w:rPr>
              <w:t>22)</w:t>
            </w:r>
          </w:p>
        </w:tc>
        <w:tc>
          <w:tcPr>
            <w:tcW w:w="3384" w:type="dxa"/>
            <w:tcBorders>
              <w:bottom w:val="single" w:sz="4" w:space="0" w:color="auto"/>
            </w:tcBorders>
            <w:shd w:val="clear" w:color="auto" w:fill="244061" w:themeFill="accent1" w:themeFillShade="80"/>
            <w:vAlign w:val="center"/>
          </w:tcPr>
          <w:p w14:paraId="503AC9B2" w14:textId="77777777" w:rsidR="00711677" w:rsidRPr="009A13F9" w:rsidRDefault="00711677" w:rsidP="006038D7">
            <w:pPr>
              <w:spacing w:line="240" w:lineRule="auto"/>
              <w:jc w:val="center"/>
              <w:rPr>
                <w:rFonts w:asciiTheme="majorHAnsi" w:hAnsiTheme="majorHAnsi"/>
                <w:b/>
                <w:color w:val="FFFFFF" w:themeColor="background1"/>
              </w:rPr>
            </w:pPr>
            <w:r w:rsidRPr="009A13F9">
              <w:rPr>
                <w:rFonts w:asciiTheme="majorHAnsi" w:hAnsiTheme="majorHAnsi"/>
                <w:b/>
                <w:color w:val="FFFFFF" w:themeColor="background1"/>
              </w:rPr>
              <w:t xml:space="preserve">Performance  </w:t>
            </w:r>
          </w:p>
          <w:p w14:paraId="7A58A1E7" w14:textId="77777777" w:rsidR="00711677" w:rsidRPr="009A13F9" w:rsidRDefault="00711677" w:rsidP="006038D7">
            <w:pPr>
              <w:spacing w:line="240" w:lineRule="auto"/>
              <w:jc w:val="center"/>
              <w:rPr>
                <w:rFonts w:asciiTheme="majorHAnsi" w:hAnsiTheme="majorHAnsi"/>
                <w:b/>
                <w:color w:val="FFFFFF" w:themeColor="background1"/>
              </w:rPr>
            </w:pPr>
            <w:r w:rsidRPr="009A13F9">
              <w:rPr>
                <w:rFonts w:asciiTheme="majorHAnsi" w:hAnsiTheme="majorHAnsi"/>
                <w:b/>
                <w:color w:val="FFFFFF" w:themeColor="background1"/>
              </w:rPr>
              <w:t>indicator</w:t>
            </w:r>
            <w:r w:rsidRPr="009A13F9">
              <w:rPr>
                <w:rStyle w:val="FootnoteReference"/>
                <w:rFonts w:asciiTheme="majorHAnsi" w:hAnsiTheme="majorHAnsi"/>
                <w:b/>
                <w:color w:val="FFFFFF" w:themeColor="background1"/>
              </w:rPr>
              <w:footnoteReference w:id="1"/>
            </w:r>
          </w:p>
        </w:tc>
        <w:tc>
          <w:tcPr>
            <w:tcW w:w="4650" w:type="dxa"/>
            <w:shd w:val="clear" w:color="auto" w:fill="244061" w:themeFill="accent1" w:themeFillShade="80"/>
            <w:vAlign w:val="center"/>
          </w:tcPr>
          <w:p w14:paraId="35481EDE" w14:textId="77777777" w:rsidR="00711677" w:rsidRPr="009A13F9" w:rsidRDefault="00711677" w:rsidP="006038D7">
            <w:pPr>
              <w:spacing w:line="240" w:lineRule="auto"/>
              <w:jc w:val="center"/>
              <w:rPr>
                <w:rFonts w:asciiTheme="majorHAnsi" w:hAnsiTheme="majorHAnsi"/>
                <w:b/>
                <w:color w:val="FFFFFF" w:themeColor="background1"/>
              </w:rPr>
            </w:pPr>
            <w:r w:rsidRPr="009A13F9">
              <w:rPr>
                <w:rFonts w:asciiTheme="majorHAnsi" w:hAnsiTheme="majorHAnsi"/>
                <w:b/>
                <w:color w:val="FFFFFF" w:themeColor="background1"/>
              </w:rPr>
              <w:t>Action items</w:t>
            </w:r>
            <w:r w:rsidRPr="009A13F9">
              <w:rPr>
                <w:rStyle w:val="FootnoteReference"/>
                <w:rFonts w:asciiTheme="majorHAnsi" w:hAnsiTheme="majorHAnsi"/>
                <w:b/>
                <w:color w:val="FFFFFF" w:themeColor="background1"/>
              </w:rPr>
              <w:footnoteReference w:id="2"/>
            </w:r>
          </w:p>
          <w:p w14:paraId="2AD4FF8B" w14:textId="77777777" w:rsidR="00711677" w:rsidRPr="009A13F9" w:rsidRDefault="00711677" w:rsidP="006038D7">
            <w:pPr>
              <w:spacing w:line="240" w:lineRule="auto"/>
              <w:jc w:val="center"/>
              <w:rPr>
                <w:rFonts w:asciiTheme="majorHAnsi" w:hAnsiTheme="majorHAnsi"/>
                <w:b/>
                <w:color w:val="FFFFFF" w:themeColor="background1"/>
              </w:rPr>
            </w:pPr>
            <w:r w:rsidRPr="009A13F9">
              <w:rPr>
                <w:rFonts w:asciiTheme="majorHAnsi" w:hAnsiTheme="majorHAnsi"/>
                <w:b/>
                <w:color w:val="FFFFFF" w:themeColor="background1"/>
              </w:rPr>
              <w:t xml:space="preserve">and other comment </w:t>
            </w:r>
          </w:p>
        </w:tc>
      </w:tr>
      <w:tr w:rsidR="00FA7E9D" w:rsidRPr="009A13F9" w14:paraId="45AEE392" w14:textId="77777777" w:rsidTr="00FA7E9D">
        <w:trPr>
          <w:trHeight w:val="5827"/>
        </w:trPr>
        <w:tc>
          <w:tcPr>
            <w:tcW w:w="2246" w:type="dxa"/>
          </w:tcPr>
          <w:p w14:paraId="1C783159" w14:textId="77777777" w:rsidR="00FA7E9D" w:rsidRDefault="00FA7E9D" w:rsidP="00FA7E9D">
            <w:pPr>
              <w:pStyle w:val="Default"/>
              <w:spacing w:before="120"/>
              <w:rPr>
                <w:rFonts w:asciiTheme="majorHAnsi" w:hAnsiTheme="majorHAnsi"/>
                <w:sz w:val="20"/>
                <w:szCs w:val="20"/>
                <w:lang w:val="en-PH"/>
              </w:rPr>
            </w:pPr>
            <w:r w:rsidRPr="006F30DC">
              <w:rPr>
                <w:rFonts w:asciiTheme="majorHAnsi" w:hAnsiTheme="majorHAnsi"/>
                <w:sz w:val="20"/>
                <w:szCs w:val="20"/>
                <w:lang w:val="en-PH"/>
              </w:rPr>
              <w:t>Improved Contribution to the INTOSAI Framework of Professional Pronouncement</w:t>
            </w:r>
            <w:r>
              <w:rPr>
                <w:rFonts w:asciiTheme="majorHAnsi" w:hAnsiTheme="majorHAnsi"/>
                <w:sz w:val="20"/>
                <w:szCs w:val="20"/>
                <w:lang w:val="en-PH"/>
              </w:rPr>
              <w:t xml:space="preserve"> (IFPP)</w:t>
            </w:r>
          </w:p>
          <w:p w14:paraId="1152EF41" w14:textId="77777777" w:rsidR="00FA7E9D" w:rsidRPr="006F30DC" w:rsidRDefault="00FA7E9D" w:rsidP="00FA7E9D">
            <w:pPr>
              <w:pStyle w:val="Default"/>
              <w:spacing w:before="120"/>
              <w:rPr>
                <w:rFonts w:asciiTheme="majorHAnsi" w:hAnsiTheme="majorHAnsi"/>
                <w:sz w:val="20"/>
                <w:szCs w:val="20"/>
                <w:lang w:val="en-PH"/>
              </w:rPr>
            </w:pPr>
          </w:p>
        </w:tc>
        <w:tc>
          <w:tcPr>
            <w:tcW w:w="4021" w:type="dxa"/>
            <w:shd w:val="clear" w:color="auto" w:fill="auto"/>
          </w:tcPr>
          <w:p w14:paraId="35B13C86" w14:textId="4A09F6BA" w:rsidR="00FA7E9D" w:rsidRPr="00FA7E9D" w:rsidRDefault="00FA7E9D" w:rsidP="00FA7E9D">
            <w:pPr>
              <w:autoSpaceDE w:val="0"/>
              <w:autoSpaceDN w:val="0"/>
              <w:adjustRightInd w:val="0"/>
              <w:spacing w:before="120" w:line="240" w:lineRule="auto"/>
              <w:jc w:val="both"/>
              <w:rPr>
                <w:rFonts w:asciiTheme="majorHAnsi" w:hAnsiTheme="majorHAnsi" w:cs="Arial"/>
              </w:rPr>
            </w:pPr>
            <w:r w:rsidRPr="00FA7E9D">
              <w:rPr>
                <w:rFonts w:asciiTheme="majorHAnsi" w:hAnsiTheme="majorHAnsi" w:cs="Arial"/>
              </w:rPr>
              <w:t>Advocate for providing and maintaining International Standards of Supreme Audit Institutions (ISSAI) and other professional pronouncements related to public debt auditing</w:t>
            </w:r>
            <w:r w:rsidRPr="00FA7E9D" w:rsidDel="00125E2B">
              <w:rPr>
                <w:rFonts w:asciiTheme="majorHAnsi" w:hAnsiTheme="majorHAnsi"/>
              </w:rPr>
              <w:t xml:space="preserve"> </w:t>
            </w:r>
          </w:p>
        </w:tc>
        <w:tc>
          <w:tcPr>
            <w:tcW w:w="3384" w:type="dxa"/>
            <w:shd w:val="clear" w:color="auto" w:fill="auto"/>
          </w:tcPr>
          <w:p w14:paraId="6B6BA516" w14:textId="7B4B1DC6" w:rsidR="00FA7E9D" w:rsidRDefault="00FA7E9D" w:rsidP="00FA7E9D">
            <w:pPr>
              <w:spacing w:before="120" w:line="240" w:lineRule="auto"/>
              <w:jc w:val="both"/>
              <w:rPr>
                <w:rFonts w:asciiTheme="majorHAnsi" w:hAnsiTheme="majorHAnsi"/>
              </w:rPr>
            </w:pPr>
            <w:r>
              <w:rPr>
                <w:rFonts w:asciiTheme="majorHAnsi" w:hAnsiTheme="majorHAnsi"/>
              </w:rPr>
              <w:t>ISSAIs on public debt harmonized and aligned with ISSAI 100 and other related materials</w:t>
            </w:r>
          </w:p>
        </w:tc>
        <w:tc>
          <w:tcPr>
            <w:tcW w:w="4650" w:type="dxa"/>
            <w:shd w:val="clear" w:color="auto" w:fill="FFFFFF" w:themeFill="background1"/>
          </w:tcPr>
          <w:p w14:paraId="2EF48DD7" w14:textId="77777777" w:rsidR="00FA7E9D" w:rsidRPr="006F30DC" w:rsidRDefault="00FA7E9D" w:rsidP="00FA7E9D">
            <w:pPr>
              <w:spacing w:before="120" w:line="240" w:lineRule="auto"/>
              <w:jc w:val="both"/>
              <w:rPr>
                <w:rFonts w:asciiTheme="majorHAnsi" w:hAnsiTheme="majorHAnsi"/>
                <w:i/>
                <w:u w:val="single"/>
                <w:lang w:val="en-PH"/>
              </w:rPr>
            </w:pPr>
            <w:r w:rsidRPr="006F30DC">
              <w:rPr>
                <w:rFonts w:asciiTheme="majorHAnsi" w:hAnsiTheme="majorHAnsi"/>
                <w:i/>
                <w:u w:val="single"/>
                <w:lang w:val="en-PH"/>
              </w:rPr>
              <w:t>Progress to date</w:t>
            </w:r>
          </w:p>
          <w:p w14:paraId="76F245EC" w14:textId="77777777" w:rsidR="00FA7E9D" w:rsidRDefault="00FA7E9D" w:rsidP="00FA7E9D">
            <w:pPr>
              <w:spacing w:before="120" w:line="240" w:lineRule="auto"/>
              <w:jc w:val="both"/>
              <w:rPr>
                <w:rFonts w:asciiTheme="majorHAnsi" w:hAnsiTheme="majorHAnsi"/>
                <w:lang w:val="en-PH"/>
              </w:rPr>
            </w:pPr>
            <w:r>
              <w:rPr>
                <w:rFonts w:asciiTheme="majorHAnsi" w:hAnsiTheme="majorHAnsi"/>
                <w:lang w:val="en-PH"/>
              </w:rPr>
              <w:t>Coordination with FIPP thru KSC on projects (2.9 and 2.5) under the SDP of IFPP 2017-2019. Teleconference with FIPP representatives on 20 July 2017 on guidance for Projects 2.9 and 2.5.</w:t>
            </w:r>
          </w:p>
          <w:p w14:paraId="47716040" w14:textId="143EB09A" w:rsidR="00FA7E9D" w:rsidRDefault="00FA7E9D" w:rsidP="00FA7E9D">
            <w:pPr>
              <w:pStyle w:val="yiv6326553480m4434184440366046050gmail-msolistparagraph"/>
              <w:shd w:val="clear" w:color="auto" w:fill="FFFFFF"/>
              <w:spacing w:before="120" w:beforeAutospacing="0" w:after="0" w:afterAutospacing="0"/>
              <w:jc w:val="both"/>
              <w:rPr>
                <w:rFonts w:asciiTheme="majorHAnsi" w:hAnsiTheme="majorHAnsi"/>
                <w:sz w:val="20"/>
                <w:szCs w:val="20"/>
                <w:lang w:eastAsia="en-US"/>
              </w:rPr>
            </w:pPr>
            <w:r w:rsidRPr="0059638F">
              <w:rPr>
                <w:rFonts w:asciiTheme="majorHAnsi" w:hAnsiTheme="majorHAnsi"/>
                <w:sz w:val="20"/>
                <w:szCs w:val="20"/>
                <w:lang w:eastAsia="en-US"/>
              </w:rPr>
              <w:t xml:space="preserve">Survey conducted in July </w:t>
            </w:r>
            <w:r>
              <w:rPr>
                <w:rFonts w:asciiTheme="majorHAnsi" w:hAnsiTheme="majorHAnsi"/>
                <w:sz w:val="20"/>
                <w:szCs w:val="20"/>
                <w:lang w:eastAsia="en-US"/>
              </w:rPr>
              <w:t xml:space="preserve">2017 on: </w:t>
            </w:r>
            <w:r w:rsidR="004E6D74">
              <w:rPr>
                <w:rFonts w:asciiTheme="majorHAnsi" w:hAnsiTheme="majorHAnsi"/>
                <w:sz w:val="20"/>
                <w:szCs w:val="20"/>
                <w:lang w:eastAsia="en-US"/>
              </w:rPr>
              <w:t xml:space="preserve">(i) </w:t>
            </w:r>
            <w:r>
              <w:rPr>
                <w:rFonts w:asciiTheme="majorHAnsi" w:hAnsiTheme="majorHAnsi"/>
                <w:sz w:val="20"/>
                <w:szCs w:val="20"/>
                <w:lang w:eastAsia="en-US"/>
              </w:rPr>
              <w:t>c</w:t>
            </w:r>
            <w:r w:rsidRPr="0059638F">
              <w:rPr>
                <w:rFonts w:asciiTheme="majorHAnsi" w:hAnsiTheme="majorHAnsi"/>
                <w:sz w:val="20"/>
                <w:szCs w:val="20"/>
                <w:lang w:eastAsia="en-US"/>
              </w:rPr>
              <w:t>all for participation in Project 2.9 of the IFPP SDP 2017 – 2019</w:t>
            </w:r>
            <w:r>
              <w:rPr>
                <w:rFonts w:asciiTheme="majorHAnsi" w:hAnsiTheme="majorHAnsi"/>
                <w:sz w:val="20"/>
                <w:szCs w:val="20"/>
                <w:lang w:eastAsia="en-US"/>
              </w:rPr>
              <w:t xml:space="preserve">; </w:t>
            </w:r>
            <w:r w:rsidR="004E6D74">
              <w:rPr>
                <w:rFonts w:asciiTheme="majorHAnsi" w:hAnsiTheme="majorHAnsi"/>
                <w:sz w:val="20"/>
                <w:szCs w:val="20"/>
                <w:lang w:eastAsia="en-US"/>
              </w:rPr>
              <w:t xml:space="preserve">(ii) </w:t>
            </w:r>
            <w:r>
              <w:rPr>
                <w:rFonts w:asciiTheme="majorHAnsi" w:hAnsiTheme="majorHAnsi"/>
                <w:sz w:val="20"/>
                <w:szCs w:val="20"/>
                <w:lang w:eastAsia="en-US"/>
              </w:rPr>
              <w:t>c</w:t>
            </w:r>
            <w:r w:rsidRPr="0059638F">
              <w:rPr>
                <w:rFonts w:asciiTheme="majorHAnsi" w:hAnsiTheme="majorHAnsi"/>
                <w:sz w:val="20"/>
                <w:szCs w:val="20"/>
                <w:lang w:eastAsia="en-US"/>
              </w:rPr>
              <w:t>all for participation on WGITA</w:t>
            </w:r>
            <w:r w:rsidR="004E6D74">
              <w:rPr>
                <w:rFonts w:asciiTheme="majorHAnsi" w:hAnsiTheme="majorHAnsi"/>
                <w:sz w:val="20"/>
                <w:szCs w:val="20"/>
                <w:lang w:eastAsia="en-US"/>
              </w:rPr>
              <w:t>, WGAP,</w:t>
            </w:r>
            <w:r w:rsidRPr="0059638F">
              <w:rPr>
                <w:rFonts w:asciiTheme="majorHAnsi" w:hAnsiTheme="majorHAnsi"/>
                <w:sz w:val="20"/>
                <w:szCs w:val="20"/>
                <w:lang w:eastAsia="en-US"/>
              </w:rPr>
              <w:t xml:space="preserve"> and WGADA projects on </w:t>
            </w:r>
            <w:r w:rsidR="004E6D74">
              <w:rPr>
                <w:rFonts w:asciiTheme="majorHAnsi" w:hAnsiTheme="majorHAnsi"/>
                <w:sz w:val="20"/>
                <w:szCs w:val="20"/>
                <w:lang w:eastAsia="en-US"/>
              </w:rPr>
              <w:t xml:space="preserve">audits of internal control, </w:t>
            </w:r>
            <w:r w:rsidRPr="0059638F">
              <w:rPr>
                <w:rFonts w:asciiTheme="majorHAnsi" w:hAnsiTheme="majorHAnsi"/>
                <w:sz w:val="20"/>
                <w:szCs w:val="20"/>
                <w:lang w:eastAsia="en-US"/>
              </w:rPr>
              <w:t>privatization</w:t>
            </w:r>
            <w:r w:rsidR="004E6D74">
              <w:rPr>
                <w:rFonts w:asciiTheme="majorHAnsi" w:hAnsiTheme="majorHAnsi"/>
                <w:sz w:val="20"/>
                <w:szCs w:val="20"/>
                <w:lang w:eastAsia="en-US"/>
              </w:rPr>
              <w:t>,</w:t>
            </w:r>
            <w:r w:rsidRPr="0059638F">
              <w:rPr>
                <w:rFonts w:asciiTheme="majorHAnsi" w:hAnsiTheme="majorHAnsi"/>
                <w:sz w:val="20"/>
                <w:szCs w:val="20"/>
                <w:lang w:eastAsia="en-US"/>
              </w:rPr>
              <w:t xml:space="preserve"> and disaster</w:t>
            </w:r>
            <w:r w:rsidR="004E6D74">
              <w:rPr>
                <w:rFonts w:asciiTheme="majorHAnsi" w:hAnsiTheme="majorHAnsi"/>
                <w:sz w:val="20"/>
                <w:szCs w:val="20"/>
                <w:lang w:eastAsia="en-US"/>
              </w:rPr>
              <w:t>-related</w:t>
            </w:r>
            <w:r w:rsidRPr="0059638F">
              <w:rPr>
                <w:rFonts w:asciiTheme="majorHAnsi" w:hAnsiTheme="majorHAnsi"/>
                <w:sz w:val="20"/>
                <w:szCs w:val="20"/>
                <w:lang w:eastAsia="en-US"/>
              </w:rPr>
              <w:t xml:space="preserve"> aid</w:t>
            </w:r>
            <w:r>
              <w:rPr>
                <w:rFonts w:asciiTheme="majorHAnsi" w:hAnsiTheme="majorHAnsi"/>
                <w:sz w:val="20"/>
                <w:szCs w:val="20"/>
                <w:lang w:eastAsia="en-US"/>
              </w:rPr>
              <w:t xml:space="preserve">; and </w:t>
            </w:r>
            <w:r w:rsidR="00505A88">
              <w:rPr>
                <w:rFonts w:asciiTheme="majorHAnsi" w:hAnsiTheme="majorHAnsi"/>
                <w:sz w:val="20"/>
                <w:szCs w:val="20"/>
                <w:lang w:eastAsia="en-US"/>
              </w:rPr>
              <w:t xml:space="preserve">(iii) </w:t>
            </w:r>
            <w:r>
              <w:rPr>
                <w:rFonts w:asciiTheme="majorHAnsi" w:hAnsiTheme="majorHAnsi"/>
                <w:sz w:val="20"/>
                <w:szCs w:val="20"/>
                <w:lang w:eastAsia="en-US"/>
              </w:rPr>
              <w:t>c</w:t>
            </w:r>
            <w:r w:rsidRPr="0059638F">
              <w:rPr>
                <w:rFonts w:asciiTheme="majorHAnsi" w:hAnsiTheme="majorHAnsi"/>
                <w:sz w:val="20"/>
                <w:szCs w:val="20"/>
                <w:lang w:eastAsia="en-US"/>
              </w:rPr>
              <w:t>all for comments on the Draft Work Plan 2017 – 2019</w:t>
            </w:r>
            <w:r>
              <w:rPr>
                <w:rFonts w:asciiTheme="majorHAnsi" w:hAnsiTheme="majorHAnsi"/>
                <w:sz w:val="20"/>
                <w:szCs w:val="20"/>
                <w:lang w:eastAsia="en-US"/>
              </w:rPr>
              <w:t>.</w:t>
            </w:r>
          </w:p>
          <w:p w14:paraId="63865848" w14:textId="7356382E" w:rsidR="00FA7E9D" w:rsidRDefault="00FA7E9D" w:rsidP="00FA7E9D">
            <w:pPr>
              <w:pStyle w:val="yiv6326553480m4434184440366046050gmail-msolistparagraph"/>
              <w:shd w:val="clear" w:color="auto" w:fill="FFFFFF"/>
              <w:spacing w:before="120" w:beforeAutospacing="0" w:after="0" w:afterAutospacing="0"/>
              <w:jc w:val="both"/>
              <w:rPr>
                <w:rFonts w:asciiTheme="majorHAnsi" w:hAnsiTheme="majorHAnsi"/>
                <w:sz w:val="20"/>
                <w:szCs w:val="20"/>
                <w:lang w:eastAsia="en-US"/>
              </w:rPr>
            </w:pPr>
            <w:r>
              <w:rPr>
                <w:rFonts w:asciiTheme="majorHAnsi" w:hAnsiTheme="majorHAnsi"/>
                <w:sz w:val="20"/>
                <w:szCs w:val="20"/>
                <w:lang w:eastAsia="en-US"/>
              </w:rPr>
              <w:t xml:space="preserve">As of </w:t>
            </w:r>
            <w:r w:rsidR="00C37104">
              <w:rPr>
                <w:rFonts w:asciiTheme="majorHAnsi" w:hAnsiTheme="majorHAnsi"/>
                <w:sz w:val="20"/>
                <w:szCs w:val="20"/>
                <w:lang w:eastAsia="en-US"/>
              </w:rPr>
              <w:t>1</w:t>
            </w:r>
            <w:r>
              <w:rPr>
                <w:rFonts w:asciiTheme="majorHAnsi" w:hAnsiTheme="majorHAnsi"/>
                <w:sz w:val="20"/>
                <w:szCs w:val="20"/>
                <w:lang w:eastAsia="en-US"/>
              </w:rPr>
              <w:t xml:space="preserve">1 </w:t>
            </w:r>
            <w:r w:rsidR="00C37104">
              <w:rPr>
                <w:rFonts w:asciiTheme="majorHAnsi" w:hAnsiTheme="majorHAnsi"/>
                <w:sz w:val="20"/>
                <w:szCs w:val="20"/>
                <w:lang w:eastAsia="en-US"/>
              </w:rPr>
              <w:t xml:space="preserve">August </w:t>
            </w:r>
            <w:r>
              <w:rPr>
                <w:rFonts w:asciiTheme="majorHAnsi" w:hAnsiTheme="majorHAnsi"/>
                <w:sz w:val="20"/>
                <w:szCs w:val="20"/>
                <w:lang w:eastAsia="en-US"/>
              </w:rPr>
              <w:t>2017, a total of 1</w:t>
            </w:r>
            <w:r w:rsidR="00C37104">
              <w:rPr>
                <w:rFonts w:asciiTheme="majorHAnsi" w:hAnsiTheme="majorHAnsi"/>
                <w:sz w:val="20"/>
                <w:szCs w:val="20"/>
                <w:lang w:eastAsia="en-US"/>
              </w:rPr>
              <w:t>3</w:t>
            </w:r>
            <w:r>
              <w:rPr>
                <w:rFonts w:asciiTheme="majorHAnsi" w:hAnsiTheme="majorHAnsi"/>
                <w:sz w:val="20"/>
                <w:szCs w:val="20"/>
                <w:lang w:eastAsia="en-US"/>
              </w:rPr>
              <w:t xml:space="preserve"> of 25 SAIs acknowledged receipt; nine responded (US-GAO offered to lead a task on Project 2.9; eight others as task team members); </w:t>
            </w:r>
            <w:r w:rsidR="00C37104">
              <w:rPr>
                <w:rFonts w:asciiTheme="majorHAnsi" w:hAnsiTheme="majorHAnsi"/>
                <w:sz w:val="20"/>
                <w:szCs w:val="20"/>
                <w:lang w:eastAsia="en-US"/>
              </w:rPr>
              <w:t xml:space="preserve">four </w:t>
            </w:r>
            <w:r>
              <w:rPr>
                <w:rFonts w:asciiTheme="majorHAnsi" w:hAnsiTheme="majorHAnsi"/>
                <w:sz w:val="20"/>
                <w:szCs w:val="20"/>
                <w:lang w:eastAsia="en-US"/>
              </w:rPr>
              <w:t>respondents offered to participate in the WGITA</w:t>
            </w:r>
            <w:r w:rsidR="00C37104">
              <w:rPr>
                <w:rFonts w:asciiTheme="majorHAnsi" w:hAnsiTheme="majorHAnsi"/>
                <w:sz w:val="20"/>
                <w:szCs w:val="20"/>
                <w:lang w:eastAsia="en-US"/>
              </w:rPr>
              <w:t>, WGAP,</w:t>
            </w:r>
            <w:r>
              <w:rPr>
                <w:rFonts w:asciiTheme="majorHAnsi" w:hAnsiTheme="majorHAnsi"/>
                <w:sz w:val="20"/>
                <w:szCs w:val="20"/>
                <w:lang w:eastAsia="en-US"/>
              </w:rPr>
              <w:t xml:space="preserve"> and WGADA projects under Project</w:t>
            </w:r>
            <w:r w:rsidR="00C37104">
              <w:rPr>
                <w:rFonts w:asciiTheme="majorHAnsi" w:hAnsiTheme="majorHAnsi"/>
                <w:sz w:val="20"/>
                <w:szCs w:val="20"/>
                <w:lang w:eastAsia="en-US"/>
              </w:rPr>
              <w:t>s</w:t>
            </w:r>
            <w:r>
              <w:rPr>
                <w:rFonts w:asciiTheme="majorHAnsi" w:hAnsiTheme="majorHAnsi"/>
                <w:sz w:val="20"/>
                <w:szCs w:val="20"/>
                <w:lang w:eastAsia="en-US"/>
              </w:rPr>
              <w:t xml:space="preserve"> 2.5</w:t>
            </w:r>
            <w:r w:rsidR="00C37104">
              <w:rPr>
                <w:rFonts w:asciiTheme="majorHAnsi" w:hAnsiTheme="majorHAnsi"/>
                <w:sz w:val="20"/>
                <w:szCs w:val="20"/>
                <w:lang w:eastAsia="en-US"/>
              </w:rPr>
              <w:t>, 2.7, and 2.10</w:t>
            </w:r>
            <w:r>
              <w:rPr>
                <w:rFonts w:asciiTheme="majorHAnsi" w:hAnsiTheme="majorHAnsi"/>
                <w:sz w:val="20"/>
                <w:szCs w:val="20"/>
                <w:lang w:eastAsia="en-US"/>
              </w:rPr>
              <w:t>.</w:t>
            </w:r>
          </w:p>
          <w:p w14:paraId="33F5A49D" w14:textId="77777777" w:rsidR="00FA7E9D" w:rsidRDefault="00FA7E9D" w:rsidP="00FA7E9D">
            <w:pPr>
              <w:pStyle w:val="yiv6326553480m4434184440366046050gmail-msolistparagraph"/>
              <w:shd w:val="clear" w:color="auto" w:fill="FFFFFF"/>
              <w:spacing w:before="120" w:beforeAutospacing="0" w:after="0" w:afterAutospacing="0"/>
              <w:jc w:val="both"/>
              <w:rPr>
                <w:rFonts w:asciiTheme="majorHAnsi" w:hAnsiTheme="majorHAnsi"/>
                <w:sz w:val="20"/>
                <w:szCs w:val="20"/>
                <w:lang w:eastAsia="en-US"/>
              </w:rPr>
            </w:pPr>
            <w:r>
              <w:rPr>
                <w:rFonts w:asciiTheme="majorHAnsi" w:hAnsiTheme="majorHAnsi"/>
                <w:sz w:val="20"/>
                <w:szCs w:val="20"/>
                <w:lang w:eastAsia="en-US"/>
              </w:rPr>
              <w:t xml:space="preserve">Follow up email sent on 2 August 2017 to WGPD members which have not responded. </w:t>
            </w:r>
          </w:p>
          <w:p w14:paraId="1BA936FA" w14:textId="3E4D86E6" w:rsidR="00FA7E9D" w:rsidRPr="00FA7E9D" w:rsidRDefault="00FA7E9D" w:rsidP="00FA7E9D">
            <w:pPr>
              <w:pStyle w:val="yiv6326553480m4434184440366046050gmail-msolistparagraph"/>
              <w:shd w:val="clear" w:color="auto" w:fill="FFFFFF"/>
              <w:spacing w:before="120" w:beforeAutospacing="0" w:after="0" w:afterAutospacing="0"/>
              <w:jc w:val="both"/>
              <w:rPr>
                <w:rFonts w:asciiTheme="majorHAnsi" w:hAnsiTheme="majorHAnsi"/>
                <w:sz w:val="20"/>
                <w:szCs w:val="20"/>
                <w:lang w:eastAsia="en-US"/>
              </w:rPr>
            </w:pPr>
            <w:r>
              <w:rPr>
                <w:rFonts w:asciiTheme="majorHAnsi" w:hAnsiTheme="majorHAnsi"/>
                <w:sz w:val="20"/>
                <w:szCs w:val="20"/>
                <w:lang w:eastAsia="en-US"/>
              </w:rPr>
              <w:t>Mapping of ISSAIs with redundancies or overlapping statements and alignment with ISSAI 100 underway.</w:t>
            </w:r>
          </w:p>
        </w:tc>
      </w:tr>
      <w:tr w:rsidR="00FA7E9D" w:rsidRPr="009A13F9" w14:paraId="23DD7E43" w14:textId="77777777" w:rsidTr="00FA7E9D">
        <w:trPr>
          <w:trHeight w:val="2596"/>
        </w:trPr>
        <w:tc>
          <w:tcPr>
            <w:tcW w:w="2246" w:type="dxa"/>
          </w:tcPr>
          <w:p w14:paraId="17810F3D" w14:textId="57CE918F" w:rsidR="00FA7E9D" w:rsidRPr="006F30DC" w:rsidRDefault="00FA7E9D" w:rsidP="00FA7E9D">
            <w:pPr>
              <w:pStyle w:val="Default"/>
              <w:spacing w:before="120"/>
              <w:rPr>
                <w:rFonts w:asciiTheme="majorHAnsi" w:hAnsiTheme="majorHAnsi" w:cs="Times New Roman"/>
                <w:color w:val="auto"/>
                <w:sz w:val="20"/>
                <w:szCs w:val="20"/>
              </w:rPr>
            </w:pPr>
          </w:p>
        </w:tc>
        <w:tc>
          <w:tcPr>
            <w:tcW w:w="4021" w:type="dxa"/>
            <w:shd w:val="clear" w:color="auto" w:fill="auto"/>
          </w:tcPr>
          <w:p w14:paraId="4D324CA9" w14:textId="28ECAA0E" w:rsidR="00FA7E9D" w:rsidRPr="000F0235" w:rsidRDefault="00FA7E9D" w:rsidP="00FA7E9D">
            <w:pPr>
              <w:pStyle w:val="ListParagraph"/>
              <w:autoSpaceDE w:val="0"/>
              <w:autoSpaceDN w:val="0"/>
              <w:adjustRightInd w:val="0"/>
              <w:spacing w:before="120" w:line="240" w:lineRule="auto"/>
              <w:ind w:left="417"/>
              <w:jc w:val="both"/>
              <w:rPr>
                <w:rFonts w:asciiTheme="majorHAnsi" w:hAnsiTheme="majorHAnsi"/>
                <w:lang w:val="en-PH"/>
              </w:rPr>
            </w:pPr>
          </w:p>
        </w:tc>
        <w:tc>
          <w:tcPr>
            <w:tcW w:w="3384" w:type="dxa"/>
            <w:shd w:val="clear" w:color="auto" w:fill="auto"/>
          </w:tcPr>
          <w:p w14:paraId="1DB3BD66" w14:textId="6CC6FD34" w:rsidR="00FA7E9D" w:rsidRPr="009A13F9" w:rsidRDefault="00FA7E9D" w:rsidP="00FA7E9D">
            <w:pPr>
              <w:spacing w:before="120" w:line="240" w:lineRule="auto"/>
              <w:jc w:val="both"/>
              <w:rPr>
                <w:rFonts w:asciiTheme="majorHAnsi" w:hAnsiTheme="majorHAnsi"/>
              </w:rPr>
            </w:pPr>
          </w:p>
        </w:tc>
        <w:tc>
          <w:tcPr>
            <w:tcW w:w="4650" w:type="dxa"/>
            <w:shd w:val="clear" w:color="auto" w:fill="FFFFFF" w:themeFill="background1"/>
          </w:tcPr>
          <w:p w14:paraId="294ABEE3" w14:textId="77777777" w:rsidR="00FA7E9D" w:rsidRPr="006F30DC" w:rsidRDefault="00FA7E9D" w:rsidP="00FA7E9D">
            <w:pPr>
              <w:spacing w:before="120" w:line="240" w:lineRule="auto"/>
              <w:rPr>
                <w:rFonts w:asciiTheme="majorHAnsi" w:hAnsiTheme="majorHAnsi"/>
                <w:i/>
                <w:u w:val="single"/>
                <w:lang w:val="en-PH"/>
              </w:rPr>
            </w:pPr>
            <w:r>
              <w:rPr>
                <w:rFonts w:asciiTheme="majorHAnsi" w:hAnsiTheme="majorHAnsi"/>
                <w:i/>
                <w:u w:val="single"/>
                <w:lang w:val="en-PH"/>
              </w:rPr>
              <w:t>Action items / key next items</w:t>
            </w:r>
          </w:p>
          <w:p w14:paraId="3389D17F" w14:textId="6115684E" w:rsidR="00FA7E9D" w:rsidRDefault="00FA7E9D" w:rsidP="00FA7E9D">
            <w:pPr>
              <w:spacing w:before="120" w:line="240" w:lineRule="auto"/>
              <w:jc w:val="both"/>
              <w:rPr>
                <w:rFonts w:asciiTheme="majorHAnsi" w:hAnsiTheme="majorHAnsi"/>
                <w:lang w:val="en-PH"/>
              </w:rPr>
            </w:pPr>
            <w:r>
              <w:rPr>
                <w:rFonts w:asciiTheme="majorHAnsi" w:hAnsiTheme="majorHAnsi"/>
                <w:lang w:val="en-PH"/>
              </w:rPr>
              <w:t xml:space="preserve">Outputs from the discussions in September 2017 </w:t>
            </w:r>
            <w:r w:rsidR="00C4230C">
              <w:rPr>
                <w:rFonts w:asciiTheme="majorHAnsi" w:hAnsiTheme="majorHAnsi"/>
                <w:lang w:val="en-PH"/>
              </w:rPr>
              <w:t xml:space="preserve">WGPD Annual Meeting </w:t>
            </w:r>
            <w:r>
              <w:rPr>
                <w:rFonts w:asciiTheme="majorHAnsi" w:hAnsiTheme="majorHAnsi"/>
                <w:lang w:val="en-PH"/>
              </w:rPr>
              <w:t xml:space="preserve">will inform (and help prioritize) what is to be developed, designed, or maintained. This would then be included in the WGPD </w:t>
            </w:r>
            <w:r w:rsidR="00D134DF">
              <w:rPr>
                <w:rFonts w:asciiTheme="majorHAnsi" w:hAnsiTheme="majorHAnsi"/>
                <w:lang w:val="en-PH"/>
              </w:rPr>
              <w:t>W</w:t>
            </w:r>
            <w:r>
              <w:rPr>
                <w:rFonts w:asciiTheme="majorHAnsi" w:hAnsiTheme="majorHAnsi"/>
                <w:lang w:val="en-PH"/>
              </w:rPr>
              <w:t xml:space="preserve">ork </w:t>
            </w:r>
            <w:r w:rsidR="00D134DF">
              <w:rPr>
                <w:rFonts w:asciiTheme="majorHAnsi" w:hAnsiTheme="majorHAnsi"/>
                <w:lang w:val="en-PH"/>
              </w:rPr>
              <w:t>P</w:t>
            </w:r>
            <w:r>
              <w:rPr>
                <w:rFonts w:asciiTheme="majorHAnsi" w:hAnsiTheme="majorHAnsi"/>
                <w:lang w:val="en-PH"/>
              </w:rPr>
              <w:t>lan to be formalized in September 2017.</w:t>
            </w:r>
          </w:p>
          <w:p w14:paraId="4AE0322D" w14:textId="007ED9D4" w:rsidR="00FA7E9D" w:rsidRPr="00FA7E9D" w:rsidRDefault="00FA7E9D" w:rsidP="00A80313">
            <w:pPr>
              <w:spacing w:before="120" w:after="120" w:line="240" w:lineRule="auto"/>
              <w:jc w:val="both"/>
              <w:rPr>
                <w:rFonts w:asciiTheme="majorHAnsi" w:hAnsiTheme="majorHAnsi"/>
                <w:lang w:val="en-PH"/>
              </w:rPr>
            </w:pPr>
            <w:r>
              <w:rPr>
                <w:rFonts w:asciiTheme="majorHAnsi" w:hAnsiTheme="majorHAnsi"/>
                <w:lang w:val="en-PH"/>
              </w:rPr>
              <w:t xml:space="preserve">The related project proposals shall be submitted to FIPP thru KSC on or after the September 2017 WGPD Annual Meeting. </w:t>
            </w:r>
          </w:p>
        </w:tc>
      </w:tr>
      <w:tr w:rsidR="00FA7E9D" w:rsidRPr="009A13F9" w14:paraId="423F1045" w14:textId="77777777" w:rsidTr="00CF728C">
        <w:trPr>
          <w:trHeight w:val="1036"/>
        </w:trPr>
        <w:tc>
          <w:tcPr>
            <w:tcW w:w="2246" w:type="dxa"/>
          </w:tcPr>
          <w:p w14:paraId="3470E869" w14:textId="12F9910B" w:rsidR="00FA7E9D" w:rsidRPr="009A13F9" w:rsidRDefault="00FA7E9D" w:rsidP="00FA7E9D">
            <w:pPr>
              <w:pStyle w:val="Default"/>
              <w:spacing w:before="120"/>
              <w:rPr>
                <w:rFonts w:asciiTheme="majorHAnsi" w:hAnsiTheme="majorHAnsi"/>
              </w:rPr>
            </w:pPr>
            <w:r w:rsidRPr="005C0D08">
              <w:rPr>
                <w:rFonts w:asciiTheme="majorHAnsi" w:hAnsiTheme="majorHAnsi"/>
                <w:sz w:val="20"/>
                <w:szCs w:val="20"/>
                <w:lang w:val="en-PH"/>
              </w:rPr>
              <w:t>Enhanced SAIs’ capacity building in public debt auditing</w:t>
            </w:r>
          </w:p>
        </w:tc>
        <w:tc>
          <w:tcPr>
            <w:tcW w:w="4021" w:type="dxa"/>
            <w:shd w:val="clear" w:color="auto" w:fill="auto"/>
          </w:tcPr>
          <w:p w14:paraId="6A90D1B1" w14:textId="225915E6" w:rsidR="00FA7E9D" w:rsidRPr="009A13F9" w:rsidRDefault="00FA7E9D" w:rsidP="00FA7E9D">
            <w:pPr>
              <w:pStyle w:val="ListParagraph"/>
              <w:numPr>
                <w:ilvl w:val="0"/>
                <w:numId w:val="28"/>
              </w:numPr>
              <w:autoSpaceDE w:val="0"/>
              <w:autoSpaceDN w:val="0"/>
              <w:adjustRightInd w:val="0"/>
              <w:spacing w:before="120" w:line="240" w:lineRule="auto"/>
              <w:ind w:left="417"/>
              <w:rPr>
                <w:rFonts w:asciiTheme="majorHAnsi" w:hAnsiTheme="majorHAnsi"/>
                <w:lang w:val="en-PH"/>
              </w:rPr>
            </w:pPr>
            <w:r w:rsidRPr="00821912">
              <w:rPr>
                <w:rFonts w:asciiTheme="majorHAnsi" w:hAnsiTheme="majorHAnsi" w:cs="Arial"/>
              </w:rPr>
              <w:t xml:space="preserve">Maintain a “Network of Experts” on public debt auditing throughout all the regions </w:t>
            </w:r>
          </w:p>
        </w:tc>
        <w:tc>
          <w:tcPr>
            <w:tcW w:w="3384" w:type="dxa"/>
            <w:shd w:val="clear" w:color="auto" w:fill="auto"/>
          </w:tcPr>
          <w:p w14:paraId="50C9736D" w14:textId="4EA9E030" w:rsidR="00FA7E9D" w:rsidRPr="009A13F9" w:rsidRDefault="00FA7E9D" w:rsidP="00FA7E9D">
            <w:pPr>
              <w:spacing w:before="120" w:line="240" w:lineRule="auto"/>
              <w:rPr>
                <w:rFonts w:asciiTheme="majorHAnsi" w:hAnsiTheme="majorHAnsi"/>
              </w:rPr>
            </w:pPr>
            <w:r>
              <w:rPr>
                <w:rFonts w:asciiTheme="majorHAnsi" w:hAnsiTheme="majorHAnsi"/>
              </w:rPr>
              <w:t>Database of PD Network of Experts available to all regions maintained</w:t>
            </w:r>
          </w:p>
        </w:tc>
        <w:tc>
          <w:tcPr>
            <w:tcW w:w="4650" w:type="dxa"/>
            <w:shd w:val="clear" w:color="auto" w:fill="FFFFFF" w:themeFill="background1"/>
          </w:tcPr>
          <w:p w14:paraId="5C70BA8A" w14:textId="77777777" w:rsidR="00FA7E9D" w:rsidRPr="006F30DC" w:rsidRDefault="00FA7E9D" w:rsidP="00FA7E9D">
            <w:pPr>
              <w:spacing w:before="120" w:line="240" w:lineRule="auto"/>
              <w:jc w:val="both"/>
              <w:rPr>
                <w:rFonts w:asciiTheme="majorHAnsi" w:hAnsiTheme="majorHAnsi"/>
                <w:i/>
                <w:u w:val="single"/>
                <w:lang w:val="en-PH"/>
              </w:rPr>
            </w:pPr>
            <w:r w:rsidRPr="006F30DC">
              <w:rPr>
                <w:rFonts w:asciiTheme="majorHAnsi" w:hAnsiTheme="majorHAnsi"/>
                <w:i/>
                <w:u w:val="single"/>
                <w:lang w:val="en-PH"/>
              </w:rPr>
              <w:t>Progress to date</w:t>
            </w:r>
          </w:p>
          <w:p w14:paraId="0715766A" w14:textId="4B6A63CE" w:rsidR="00FA7E9D" w:rsidRDefault="00FA7E9D" w:rsidP="00FA7E9D">
            <w:pPr>
              <w:spacing w:before="120" w:line="240" w:lineRule="auto"/>
              <w:jc w:val="both"/>
              <w:rPr>
                <w:rFonts w:asciiTheme="majorHAnsi" w:hAnsiTheme="majorHAnsi"/>
                <w:lang w:val="en-PH"/>
              </w:rPr>
            </w:pPr>
            <w:r>
              <w:rPr>
                <w:rFonts w:asciiTheme="majorHAnsi" w:hAnsiTheme="majorHAnsi"/>
                <w:lang w:val="en-PH"/>
              </w:rPr>
              <w:t xml:space="preserve">Survey conducted to update WGPD network of public debt experts in June 2017.  Only </w:t>
            </w:r>
            <w:r w:rsidR="008B7E56">
              <w:rPr>
                <w:rFonts w:asciiTheme="majorHAnsi" w:hAnsiTheme="majorHAnsi"/>
                <w:lang w:val="en-PH"/>
              </w:rPr>
              <w:t xml:space="preserve">five </w:t>
            </w:r>
            <w:r>
              <w:rPr>
                <w:rFonts w:asciiTheme="majorHAnsi" w:hAnsiTheme="majorHAnsi"/>
                <w:lang w:val="en-PH"/>
              </w:rPr>
              <w:t xml:space="preserve">of </w:t>
            </w:r>
            <w:r w:rsidR="008B7E56">
              <w:rPr>
                <w:rFonts w:asciiTheme="majorHAnsi" w:hAnsiTheme="majorHAnsi"/>
                <w:lang w:val="en-PH"/>
              </w:rPr>
              <w:t>2</w:t>
            </w:r>
            <w:r>
              <w:rPr>
                <w:rFonts w:asciiTheme="majorHAnsi" w:hAnsiTheme="majorHAnsi"/>
                <w:lang w:val="en-PH"/>
              </w:rPr>
              <w:t xml:space="preserve">5 SAI members </w:t>
            </w:r>
            <w:r w:rsidR="00A230DA">
              <w:rPr>
                <w:rFonts w:asciiTheme="majorHAnsi" w:hAnsiTheme="majorHAnsi"/>
                <w:lang w:val="en-PH"/>
              </w:rPr>
              <w:t xml:space="preserve">and SAI of Philippines </w:t>
            </w:r>
            <w:r>
              <w:rPr>
                <w:rFonts w:asciiTheme="majorHAnsi" w:hAnsiTheme="majorHAnsi"/>
                <w:lang w:val="en-PH"/>
              </w:rPr>
              <w:t xml:space="preserve">had updated their list as of </w:t>
            </w:r>
            <w:r w:rsidR="008B7E56">
              <w:rPr>
                <w:rFonts w:asciiTheme="majorHAnsi" w:hAnsiTheme="majorHAnsi"/>
                <w:lang w:val="en-PH"/>
              </w:rPr>
              <w:t>11</w:t>
            </w:r>
            <w:r>
              <w:rPr>
                <w:rFonts w:asciiTheme="majorHAnsi" w:hAnsiTheme="majorHAnsi"/>
                <w:lang w:val="en-PH"/>
              </w:rPr>
              <w:t xml:space="preserve"> August 2017. </w:t>
            </w:r>
          </w:p>
          <w:p w14:paraId="2B5C5467" w14:textId="77777777" w:rsidR="00FA7E9D" w:rsidRPr="006F30DC" w:rsidRDefault="00FA7E9D" w:rsidP="00FA7E9D">
            <w:pPr>
              <w:spacing w:before="120" w:line="240" w:lineRule="auto"/>
              <w:rPr>
                <w:rFonts w:asciiTheme="majorHAnsi" w:hAnsiTheme="majorHAnsi"/>
                <w:i/>
                <w:u w:val="single"/>
                <w:lang w:val="en-PH"/>
              </w:rPr>
            </w:pPr>
            <w:r>
              <w:rPr>
                <w:rFonts w:asciiTheme="majorHAnsi" w:hAnsiTheme="majorHAnsi"/>
                <w:i/>
                <w:u w:val="single"/>
                <w:lang w:val="en-PH"/>
              </w:rPr>
              <w:t>Action items / key next items</w:t>
            </w:r>
          </w:p>
          <w:p w14:paraId="3C0CD9E9" w14:textId="77777777" w:rsidR="00FA7E9D" w:rsidRDefault="00FA7E9D" w:rsidP="00FA7E9D">
            <w:pPr>
              <w:spacing w:before="120" w:after="120" w:line="240" w:lineRule="auto"/>
              <w:rPr>
                <w:rFonts w:asciiTheme="majorHAnsi" w:hAnsiTheme="majorHAnsi"/>
              </w:rPr>
            </w:pPr>
            <w:r>
              <w:rPr>
                <w:rFonts w:asciiTheme="majorHAnsi" w:hAnsiTheme="majorHAnsi"/>
              </w:rPr>
              <w:t>Send follow-up communications to all members for updating of the list of PD experts</w:t>
            </w:r>
          </w:p>
          <w:p w14:paraId="5B5E0DAA" w14:textId="2520DD42" w:rsidR="00FA7E9D" w:rsidRDefault="00FA7E9D" w:rsidP="00A80313">
            <w:pPr>
              <w:spacing w:before="120" w:after="120" w:line="240" w:lineRule="auto"/>
              <w:jc w:val="both"/>
              <w:rPr>
                <w:rFonts w:asciiTheme="majorHAnsi" w:hAnsiTheme="majorHAnsi"/>
              </w:rPr>
            </w:pPr>
            <w:r>
              <w:rPr>
                <w:rFonts w:asciiTheme="majorHAnsi" w:hAnsiTheme="majorHAnsi"/>
              </w:rPr>
              <w:t xml:space="preserve">Draft guidelines on selection of experts in public debt auditing and defining their roles and responsibilities, among others, to attain the strategic goal of enhancing capacity building in public debt auditing shall be developed and proposed for discussion at the </w:t>
            </w:r>
            <w:r w:rsidR="00A230DA">
              <w:rPr>
                <w:rFonts w:asciiTheme="majorHAnsi" w:hAnsiTheme="majorHAnsi"/>
              </w:rPr>
              <w:t xml:space="preserve">2017 </w:t>
            </w:r>
            <w:r>
              <w:rPr>
                <w:rFonts w:asciiTheme="majorHAnsi" w:hAnsiTheme="majorHAnsi"/>
              </w:rPr>
              <w:t>WGPD Annual Meeting in September.</w:t>
            </w:r>
          </w:p>
        </w:tc>
      </w:tr>
      <w:tr w:rsidR="00FA7E9D" w:rsidRPr="009A13F9" w14:paraId="5C3DDD2A" w14:textId="77777777" w:rsidTr="00B16E18">
        <w:trPr>
          <w:trHeight w:val="3226"/>
        </w:trPr>
        <w:tc>
          <w:tcPr>
            <w:tcW w:w="2246" w:type="dxa"/>
            <w:vMerge w:val="restart"/>
          </w:tcPr>
          <w:p w14:paraId="5AF301D7" w14:textId="07BB4163" w:rsidR="00FA7E9D" w:rsidRDefault="00FA7E9D" w:rsidP="00FA7E9D">
            <w:pPr>
              <w:pStyle w:val="Default"/>
              <w:spacing w:before="120"/>
              <w:rPr>
                <w:rFonts w:asciiTheme="majorHAnsi" w:hAnsiTheme="majorHAnsi"/>
                <w:sz w:val="20"/>
                <w:szCs w:val="20"/>
                <w:lang w:val="en-PH"/>
              </w:rPr>
            </w:pPr>
            <w:r w:rsidRPr="00CF728C">
              <w:rPr>
                <w:rFonts w:asciiTheme="majorHAnsi" w:hAnsiTheme="majorHAnsi"/>
                <w:sz w:val="20"/>
                <w:szCs w:val="20"/>
                <w:lang w:val="en-PH"/>
              </w:rPr>
              <w:lastRenderedPageBreak/>
              <w:t>Strengthened the Working Group’s standing and impact</w:t>
            </w:r>
          </w:p>
          <w:p w14:paraId="379A7A8F" w14:textId="77777777" w:rsidR="00FA7E9D" w:rsidRDefault="00FA7E9D" w:rsidP="00FA7E9D">
            <w:pPr>
              <w:pStyle w:val="Default"/>
              <w:spacing w:before="120"/>
              <w:rPr>
                <w:rFonts w:asciiTheme="majorHAnsi" w:hAnsiTheme="majorHAnsi"/>
                <w:sz w:val="20"/>
                <w:szCs w:val="20"/>
                <w:lang w:val="en-PH"/>
              </w:rPr>
            </w:pPr>
          </w:p>
          <w:p w14:paraId="3C5C978A" w14:textId="77777777" w:rsidR="00FA7E9D" w:rsidRDefault="00FA7E9D" w:rsidP="00FA7E9D">
            <w:pPr>
              <w:pStyle w:val="Default"/>
              <w:spacing w:before="120"/>
              <w:rPr>
                <w:rFonts w:asciiTheme="majorHAnsi" w:hAnsiTheme="majorHAnsi"/>
                <w:sz w:val="20"/>
                <w:szCs w:val="20"/>
                <w:lang w:val="en-PH"/>
              </w:rPr>
            </w:pPr>
          </w:p>
          <w:p w14:paraId="472E6FEF" w14:textId="77777777" w:rsidR="00FA7E9D" w:rsidRDefault="00FA7E9D" w:rsidP="00FA7E9D">
            <w:pPr>
              <w:pStyle w:val="Default"/>
              <w:spacing w:before="120"/>
              <w:rPr>
                <w:rFonts w:asciiTheme="majorHAnsi" w:hAnsiTheme="majorHAnsi"/>
                <w:sz w:val="20"/>
                <w:szCs w:val="20"/>
                <w:lang w:val="en-PH"/>
              </w:rPr>
            </w:pPr>
          </w:p>
          <w:p w14:paraId="5B8905C1" w14:textId="77777777" w:rsidR="00FA7E9D" w:rsidRDefault="00FA7E9D" w:rsidP="00FA7E9D">
            <w:pPr>
              <w:pStyle w:val="Default"/>
              <w:spacing w:before="120"/>
              <w:rPr>
                <w:rFonts w:asciiTheme="majorHAnsi" w:hAnsiTheme="majorHAnsi"/>
                <w:sz w:val="20"/>
                <w:szCs w:val="20"/>
                <w:lang w:val="en-PH"/>
              </w:rPr>
            </w:pPr>
          </w:p>
          <w:p w14:paraId="32AEA677" w14:textId="77777777" w:rsidR="00FA7E9D" w:rsidRDefault="00FA7E9D" w:rsidP="00FA7E9D">
            <w:pPr>
              <w:pStyle w:val="Default"/>
              <w:spacing w:before="120"/>
              <w:rPr>
                <w:rFonts w:asciiTheme="majorHAnsi" w:hAnsiTheme="majorHAnsi"/>
                <w:sz w:val="20"/>
                <w:szCs w:val="20"/>
                <w:lang w:val="en-PH"/>
              </w:rPr>
            </w:pPr>
          </w:p>
          <w:p w14:paraId="7134E58A" w14:textId="77777777" w:rsidR="00FA7E9D" w:rsidRDefault="00FA7E9D" w:rsidP="00FA7E9D">
            <w:pPr>
              <w:pStyle w:val="Default"/>
              <w:spacing w:before="120"/>
              <w:rPr>
                <w:rFonts w:asciiTheme="majorHAnsi" w:hAnsiTheme="majorHAnsi"/>
                <w:sz w:val="20"/>
                <w:szCs w:val="20"/>
                <w:lang w:val="en-PH"/>
              </w:rPr>
            </w:pPr>
          </w:p>
          <w:p w14:paraId="3A10D623" w14:textId="67CD4C9C" w:rsidR="00FA7E9D" w:rsidRPr="005C0D08" w:rsidRDefault="00FA7E9D" w:rsidP="00FA7E9D">
            <w:pPr>
              <w:pStyle w:val="Default"/>
              <w:spacing w:before="120"/>
              <w:rPr>
                <w:rFonts w:asciiTheme="majorHAnsi" w:hAnsiTheme="majorHAnsi"/>
                <w:sz w:val="20"/>
                <w:szCs w:val="20"/>
                <w:lang w:val="en-PH"/>
              </w:rPr>
            </w:pPr>
          </w:p>
        </w:tc>
        <w:tc>
          <w:tcPr>
            <w:tcW w:w="4021" w:type="dxa"/>
            <w:shd w:val="clear" w:color="auto" w:fill="auto"/>
          </w:tcPr>
          <w:p w14:paraId="32F3D0EF" w14:textId="0A7AF0C6" w:rsidR="00FA7E9D" w:rsidRPr="00821912" w:rsidRDefault="00FA7E9D" w:rsidP="00FA7E9D">
            <w:pPr>
              <w:pStyle w:val="ListParagraph"/>
              <w:numPr>
                <w:ilvl w:val="0"/>
                <w:numId w:val="28"/>
              </w:numPr>
              <w:autoSpaceDE w:val="0"/>
              <w:autoSpaceDN w:val="0"/>
              <w:adjustRightInd w:val="0"/>
              <w:spacing w:before="120" w:after="120" w:line="240" w:lineRule="auto"/>
              <w:ind w:left="417"/>
              <w:rPr>
                <w:rFonts w:asciiTheme="majorHAnsi" w:hAnsiTheme="majorHAnsi" w:cs="Arial"/>
              </w:rPr>
            </w:pPr>
            <w:r w:rsidRPr="006E3AE0">
              <w:rPr>
                <w:rFonts w:asciiTheme="majorHAnsi" w:hAnsiTheme="majorHAnsi" w:cs="Arial"/>
              </w:rPr>
              <w:t>Foster the use of INTOSAI communities of practice (INTOSAI KSC/IDI Community Portal), webinars and other ICT-based mechanisms, as well as in-person workshops and meetings to promote SAIs’ cooperation, collaboration and continuous improvement through knowledge development, knowledge sharing, and knowledge services on public debt auditing</w:t>
            </w:r>
          </w:p>
        </w:tc>
        <w:tc>
          <w:tcPr>
            <w:tcW w:w="3384" w:type="dxa"/>
            <w:shd w:val="clear" w:color="auto" w:fill="auto"/>
          </w:tcPr>
          <w:p w14:paraId="4EA340F5" w14:textId="27621057" w:rsidR="00FA7E9D" w:rsidRDefault="00FA7E9D" w:rsidP="00FA7E9D">
            <w:pPr>
              <w:spacing w:before="120" w:line="240" w:lineRule="auto"/>
              <w:rPr>
                <w:rFonts w:asciiTheme="majorHAnsi" w:hAnsiTheme="majorHAnsi"/>
              </w:rPr>
            </w:pPr>
            <w:r>
              <w:rPr>
                <w:rFonts w:asciiTheme="majorHAnsi" w:hAnsiTheme="majorHAnsi"/>
                <w:lang w:val="en-PH"/>
              </w:rPr>
              <w:t>INTOSAI tools (Communities of Practice and other ICT-based</w:t>
            </w:r>
            <w:r w:rsidRPr="00F7708B">
              <w:rPr>
                <w:rFonts w:asciiTheme="majorHAnsi" w:hAnsiTheme="majorHAnsi"/>
                <w:lang w:val="en-PH"/>
              </w:rPr>
              <w:t xml:space="preserve"> mechanisms</w:t>
            </w:r>
            <w:r>
              <w:rPr>
                <w:rFonts w:asciiTheme="majorHAnsi" w:hAnsiTheme="majorHAnsi"/>
                <w:lang w:val="en-PH"/>
              </w:rPr>
              <w:t>, such as webinar, videoconferences, etc.) used in the conduct of</w:t>
            </w:r>
            <w:r>
              <w:rPr>
                <w:rFonts w:asciiTheme="majorHAnsi" w:hAnsiTheme="majorHAnsi"/>
              </w:rPr>
              <w:t xml:space="preserve"> </w:t>
            </w:r>
            <w:r w:rsidRPr="00C57F12">
              <w:rPr>
                <w:rFonts w:asciiTheme="majorHAnsi" w:hAnsiTheme="majorHAnsi"/>
              </w:rPr>
              <w:t xml:space="preserve">seminars, </w:t>
            </w:r>
            <w:r>
              <w:rPr>
                <w:rFonts w:asciiTheme="majorHAnsi" w:hAnsiTheme="majorHAnsi"/>
              </w:rPr>
              <w:t>fora</w:t>
            </w:r>
            <w:r w:rsidRPr="00C57F12">
              <w:rPr>
                <w:rFonts w:asciiTheme="majorHAnsi" w:hAnsiTheme="majorHAnsi"/>
              </w:rPr>
              <w:t xml:space="preserve">, </w:t>
            </w:r>
            <w:r>
              <w:rPr>
                <w:rFonts w:asciiTheme="majorHAnsi" w:hAnsiTheme="majorHAnsi"/>
              </w:rPr>
              <w:t xml:space="preserve">capacity-building programs </w:t>
            </w:r>
            <w:r w:rsidRPr="00C57F12">
              <w:rPr>
                <w:rFonts w:asciiTheme="majorHAnsi" w:hAnsiTheme="majorHAnsi"/>
              </w:rPr>
              <w:t>and workshops</w:t>
            </w:r>
          </w:p>
        </w:tc>
        <w:tc>
          <w:tcPr>
            <w:tcW w:w="4650" w:type="dxa"/>
            <w:shd w:val="clear" w:color="auto" w:fill="FFFFFF" w:themeFill="background1"/>
          </w:tcPr>
          <w:p w14:paraId="0F9E2166" w14:textId="4B83C27B" w:rsidR="00FA7E9D" w:rsidRDefault="00FA7E9D" w:rsidP="00FA7E9D">
            <w:pPr>
              <w:spacing w:before="120" w:line="240" w:lineRule="auto"/>
              <w:jc w:val="both"/>
              <w:rPr>
                <w:rFonts w:asciiTheme="majorHAnsi" w:hAnsiTheme="majorHAnsi"/>
                <w:lang w:val="en-PH"/>
              </w:rPr>
            </w:pPr>
            <w:r w:rsidRPr="00043F60">
              <w:rPr>
                <w:rFonts w:asciiTheme="majorHAnsi" w:hAnsiTheme="majorHAnsi"/>
                <w:lang w:val="en-PH"/>
              </w:rPr>
              <w:t>Video</w:t>
            </w:r>
            <w:r>
              <w:rPr>
                <w:rFonts w:asciiTheme="majorHAnsi" w:hAnsiTheme="majorHAnsi"/>
                <w:lang w:val="en-PH"/>
              </w:rPr>
              <w:t xml:space="preserve"> and teleconferences were held during the transition of the WGPD Chairmanship and with FIPP on the guidance for Project 2.9.</w:t>
            </w:r>
          </w:p>
          <w:p w14:paraId="2A60DD49" w14:textId="7FC125F2" w:rsidR="00FA7E9D" w:rsidRPr="00043F60" w:rsidRDefault="00FA7E9D" w:rsidP="00B16E18">
            <w:pPr>
              <w:spacing w:before="120" w:after="120" w:line="240" w:lineRule="auto"/>
              <w:jc w:val="both"/>
              <w:rPr>
                <w:rFonts w:asciiTheme="majorHAnsi" w:hAnsiTheme="majorHAnsi"/>
                <w:lang w:val="en-PH"/>
              </w:rPr>
            </w:pPr>
            <w:r>
              <w:rPr>
                <w:rFonts w:asciiTheme="majorHAnsi" w:hAnsiTheme="majorHAnsi"/>
                <w:lang w:val="en-PH"/>
              </w:rPr>
              <w:t>Comments on the KSC-IDI COP was sent to IDI in July 2017.</w:t>
            </w:r>
          </w:p>
          <w:p w14:paraId="22150F1E" w14:textId="2B239880" w:rsidR="00FA7E9D" w:rsidRPr="006F30DC" w:rsidRDefault="00FA7E9D" w:rsidP="00FA7E9D">
            <w:pPr>
              <w:spacing w:before="120" w:line="240" w:lineRule="auto"/>
              <w:jc w:val="both"/>
              <w:rPr>
                <w:rFonts w:asciiTheme="majorHAnsi" w:hAnsiTheme="majorHAnsi"/>
                <w:i/>
                <w:u w:val="single"/>
                <w:lang w:val="en-PH"/>
              </w:rPr>
            </w:pPr>
            <w:r w:rsidRPr="006F30DC">
              <w:rPr>
                <w:rFonts w:asciiTheme="majorHAnsi" w:hAnsiTheme="majorHAnsi"/>
                <w:i/>
                <w:u w:val="single"/>
                <w:lang w:val="en-PH"/>
              </w:rPr>
              <w:t>Progress to date</w:t>
            </w:r>
          </w:p>
          <w:p w14:paraId="1CF1B2F0" w14:textId="77777777" w:rsidR="00FA7E9D" w:rsidRDefault="00FA7E9D" w:rsidP="00FA7E9D">
            <w:pPr>
              <w:spacing w:before="120" w:line="240" w:lineRule="auto"/>
              <w:jc w:val="both"/>
              <w:rPr>
                <w:rFonts w:asciiTheme="majorHAnsi" w:hAnsiTheme="majorHAnsi"/>
                <w:lang w:val="en-PH"/>
              </w:rPr>
            </w:pPr>
            <w:r>
              <w:rPr>
                <w:rFonts w:asciiTheme="majorHAnsi" w:hAnsiTheme="majorHAnsi"/>
                <w:lang w:val="en-PH"/>
              </w:rPr>
              <w:t>Coordination with the KSC-IDI on the planned consolidation of Working Groups’ websites in the KSC-IDI Community Portal initiated and underway.</w:t>
            </w:r>
          </w:p>
          <w:p w14:paraId="7F6A6E23" w14:textId="18C8D110" w:rsidR="00FA7E9D" w:rsidRDefault="00FA7E9D" w:rsidP="00FA7E9D">
            <w:pPr>
              <w:spacing w:before="120" w:line="240" w:lineRule="auto"/>
              <w:jc w:val="both"/>
              <w:rPr>
                <w:rFonts w:asciiTheme="majorHAnsi" w:hAnsiTheme="majorHAnsi"/>
                <w:lang w:val="en-PH"/>
              </w:rPr>
            </w:pPr>
            <w:r>
              <w:rPr>
                <w:rFonts w:asciiTheme="majorHAnsi" w:hAnsiTheme="majorHAnsi"/>
                <w:lang w:val="en-PH"/>
              </w:rPr>
              <w:t xml:space="preserve">KSC-IDI will present the plan at the </w:t>
            </w:r>
            <w:r w:rsidR="00CD65F9">
              <w:rPr>
                <w:rFonts w:asciiTheme="majorHAnsi" w:hAnsiTheme="majorHAnsi"/>
                <w:lang w:val="en-PH"/>
              </w:rPr>
              <w:t xml:space="preserve">2017 </w:t>
            </w:r>
            <w:r>
              <w:rPr>
                <w:rFonts w:asciiTheme="majorHAnsi" w:hAnsiTheme="majorHAnsi"/>
                <w:lang w:val="en-PH"/>
              </w:rPr>
              <w:t>WGPD Annual Meeting in September.</w:t>
            </w:r>
          </w:p>
          <w:p w14:paraId="31102376" w14:textId="77777777" w:rsidR="00FA7E9D" w:rsidRPr="006F30DC" w:rsidRDefault="00FA7E9D" w:rsidP="00FA7E9D">
            <w:pPr>
              <w:spacing w:before="120" w:line="240" w:lineRule="auto"/>
              <w:jc w:val="both"/>
              <w:rPr>
                <w:rFonts w:asciiTheme="majorHAnsi" w:hAnsiTheme="majorHAnsi"/>
                <w:i/>
                <w:u w:val="single"/>
                <w:lang w:val="en-PH"/>
              </w:rPr>
            </w:pPr>
            <w:r>
              <w:rPr>
                <w:rFonts w:asciiTheme="majorHAnsi" w:hAnsiTheme="majorHAnsi"/>
                <w:i/>
                <w:u w:val="single"/>
                <w:lang w:val="en-PH"/>
              </w:rPr>
              <w:t>Action items / key next items</w:t>
            </w:r>
          </w:p>
          <w:p w14:paraId="67FFD290" w14:textId="6B090743" w:rsidR="00FA7E9D" w:rsidRPr="002C1602" w:rsidRDefault="00FA7E9D" w:rsidP="00B16E18">
            <w:pPr>
              <w:spacing w:before="120" w:after="120" w:line="240" w:lineRule="auto"/>
              <w:jc w:val="both"/>
              <w:rPr>
                <w:rFonts w:asciiTheme="majorHAnsi" w:hAnsiTheme="majorHAnsi"/>
                <w:lang w:val="en-PH"/>
              </w:rPr>
            </w:pPr>
            <w:r>
              <w:rPr>
                <w:rFonts w:asciiTheme="majorHAnsi" w:hAnsiTheme="majorHAnsi"/>
                <w:lang w:val="en-PH"/>
              </w:rPr>
              <w:t>Outputs from the discussions at the WGPD Annual Meeting in September 2017 will inform (and help prioritize) what is to be developed, designed, or maintained within work plan.</w:t>
            </w:r>
          </w:p>
        </w:tc>
      </w:tr>
      <w:tr w:rsidR="00FA7E9D" w:rsidRPr="009A13F9" w14:paraId="5EA591D6" w14:textId="77777777" w:rsidTr="00CF728C">
        <w:tblPrEx>
          <w:tblCellMar>
            <w:left w:w="108" w:type="dxa"/>
            <w:right w:w="108" w:type="dxa"/>
          </w:tblCellMar>
        </w:tblPrEx>
        <w:trPr>
          <w:trHeight w:val="1062"/>
        </w:trPr>
        <w:tc>
          <w:tcPr>
            <w:tcW w:w="2246" w:type="dxa"/>
            <w:vMerge/>
          </w:tcPr>
          <w:p w14:paraId="2F33776F" w14:textId="33A87802" w:rsidR="00FA7E9D" w:rsidRPr="006F30DC" w:rsidRDefault="00FA7E9D" w:rsidP="00FA7E9D">
            <w:pPr>
              <w:pStyle w:val="Default"/>
              <w:spacing w:before="120"/>
              <w:rPr>
                <w:rFonts w:asciiTheme="majorHAnsi" w:hAnsiTheme="majorHAnsi" w:cs="Times New Roman"/>
                <w:color w:val="auto"/>
                <w:sz w:val="20"/>
                <w:szCs w:val="20"/>
              </w:rPr>
            </w:pPr>
          </w:p>
        </w:tc>
        <w:tc>
          <w:tcPr>
            <w:tcW w:w="4021" w:type="dxa"/>
          </w:tcPr>
          <w:p w14:paraId="6479B630" w14:textId="3050B8EE" w:rsidR="00FA7E9D" w:rsidRPr="000F0235" w:rsidRDefault="00FA7E9D" w:rsidP="00FA7E9D">
            <w:pPr>
              <w:pStyle w:val="ListParagraph"/>
              <w:numPr>
                <w:ilvl w:val="0"/>
                <w:numId w:val="28"/>
              </w:numPr>
              <w:autoSpaceDE w:val="0"/>
              <w:autoSpaceDN w:val="0"/>
              <w:adjustRightInd w:val="0"/>
              <w:spacing w:before="120" w:line="240" w:lineRule="auto"/>
              <w:ind w:left="417"/>
              <w:rPr>
                <w:rFonts w:asciiTheme="majorHAnsi" w:hAnsiTheme="majorHAnsi"/>
                <w:lang w:val="en-PH"/>
              </w:rPr>
            </w:pPr>
            <w:r w:rsidRPr="006E3AE0">
              <w:rPr>
                <w:rFonts w:asciiTheme="majorHAnsi" w:hAnsiTheme="majorHAnsi" w:cs="Arial"/>
              </w:rPr>
              <w:t>Establish and monitor an effective communication strategy for disseminating the Working Group’s products (audit standards, guidelines and other professional pronouncements)</w:t>
            </w:r>
          </w:p>
        </w:tc>
        <w:tc>
          <w:tcPr>
            <w:tcW w:w="3384" w:type="dxa"/>
          </w:tcPr>
          <w:p w14:paraId="2C4F399D" w14:textId="77777777" w:rsidR="00FA7E9D" w:rsidRPr="009A13F9" w:rsidRDefault="00FA7E9D" w:rsidP="00FA7E9D">
            <w:pPr>
              <w:spacing w:before="120" w:after="120" w:line="240" w:lineRule="auto"/>
              <w:jc w:val="both"/>
              <w:rPr>
                <w:rFonts w:asciiTheme="majorHAnsi" w:hAnsiTheme="majorHAnsi"/>
              </w:rPr>
            </w:pPr>
            <w:r>
              <w:rPr>
                <w:rFonts w:asciiTheme="majorHAnsi" w:hAnsiTheme="majorHAnsi"/>
              </w:rPr>
              <w:t xml:space="preserve">Close coordination with the KSC-IDI, INTOSAI General Secretariat (Website), and US GAO (Journal) starting September 2017 for the timely publication of WGPD outputs on public debt auditing issues  </w:t>
            </w:r>
          </w:p>
        </w:tc>
        <w:tc>
          <w:tcPr>
            <w:tcW w:w="4650" w:type="dxa"/>
          </w:tcPr>
          <w:p w14:paraId="3FEAD8FA" w14:textId="77777777" w:rsidR="00FA7E9D" w:rsidRPr="006F30DC" w:rsidRDefault="00FA7E9D" w:rsidP="00FA7E9D">
            <w:pPr>
              <w:spacing w:before="120" w:line="240" w:lineRule="auto"/>
              <w:jc w:val="both"/>
              <w:rPr>
                <w:rFonts w:asciiTheme="majorHAnsi" w:hAnsiTheme="majorHAnsi"/>
                <w:i/>
                <w:u w:val="single"/>
                <w:lang w:val="en-PH"/>
              </w:rPr>
            </w:pPr>
            <w:r>
              <w:rPr>
                <w:rFonts w:asciiTheme="majorHAnsi" w:hAnsiTheme="majorHAnsi"/>
                <w:i/>
                <w:u w:val="single"/>
                <w:lang w:val="en-PH"/>
              </w:rPr>
              <w:t>Action items / key next items</w:t>
            </w:r>
          </w:p>
          <w:p w14:paraId="2F92B33B" w14:textId="77777777" w:rsidR="00FA7E9D" w:rsidRDefault="00FA7E9D" w:rsidP="00FA7E9D">
            <w:pPr>
              <w:spacing w:before="120" w:line="240" w:lineRule="auto"/>
              <w:jc w:val="both"/>
              <w:rPr>
                <w:rFonts w:asciiTheme="majorHAnsi" w:hAnsiTheme="majorHAnsi"/>
                <w:lang w:val="en-PH"/>
              </w:rPr>
            </w:pPr>
            <w:r>
              <w:rPr>
                <w:rFonts w:asciiTheme="majorHAnsi" w:hAnsiTheme="majorHAnsi"/>
                <w:lang w:val="en-PH"/>
              </w:rPr>
              <w:t>Outputs from the discussions in September 2017 will inform (and help prioritize) what is to be developed, designed, or maintained within work plan.</w:t>
            </w:r>
          </w:p>
          <w:p w14:paraId="29F2B20E" w14:textId="77777777" w:rsidR="00FA7E9D" w:rsidRPr="006F30DC" w:rsidRDefault="00FA7E9D" w:rsidP="00FA7E9D">
            <w:pPr>
              <w:spacing w:before="120" w:after="120" w:line="240" w:lineRule="auto"/>
              <w:jc w:val="both"/>
              <w:rPr>
                <w:rFonts w:asciiTheme="majorHAnsi" w:hAnsiTheme="majorHAnsi"/>
                <w:lang w:val="en-PH"/>
              </w:rPr>
            </w:pPr>
            <w:r>
              <w:rPr>
                <w:rFonts w:asciiTheme="majorHAnsi" w:hAnsiTheme="majorHAnsi"/>
                <w:lang w:val="en-PH"/>
              </w:rPr>
              <w:t xml:space="preserve">Communication with </w:t>
            </w:r>
            <w:r>
              <w:rPr>
                <w:rFonts w:asciiTheme="majorHAnsi" w:hAnsiTheme="majorHAnsi"/>
              </w:rPr>
              <w:t>INTOSAI General Secretariat and US GAO</w:t>
            </w:r>
            <w:r>
              <w:rPr>
                <w:rFonts w:asciiTheme="majorHAnsi" w:hAnsiTheme="majorHAnsi"/>
                <w:lang w:val="en-PH"/>
              </w:rPr>
              <w:t xml:space="preserve"> will be established and maintained starting September 2017 onwards.</w:t>
            </w:r>
          </w:p>
        </w:tc>
      </w:tr>
      <w:tr w:rsidR="00FA7E9D" w:rsidRPr="009A13F9" w14:paraId="2607942E" w14:textId="77777777" w:rsidTr="00CF728C">
        <w:tblPrEx>
          <w:tblCellMar>
            <w:left w:w="108" w:type="dxa"/>
            <w:right w:w="108" w:type="dxa"/>
          </w:tblCellMar>
        </w:tblPrEx>
        <w:trPr>
          <w:trHeight w:val="1062"/>
        </w:trPr>
        <w:tc>
          <w:tcPr>
            <w:tcW w:w="2246" w:type="dxa"/>
            <w:vMerge/>
          </w:tcPr>
          <w:p w14:paraId="2048BA12" w14:textId="77777777" w:rsidR="00FA7E9D" w:rsidRPr="00CF728C" w:rsidRDefault="00FA7E9D" w:rsidP="00FA7E9D">
            <w:pPr>
              <w:pStyle w:val="Default"/>
              <w:spacing w:before="120"/>
              <w:rPr>
                <w:rFonts w:asciiTheme="majorHAnsi" w:hAnsiTheme="majorHAnsi"/>
                <w:sz w:val="20"/>
                <w:szCs w:val="20"/>
                <w:lang w:val="en-PH"/>
              </w:rPr>
            </w:pPr>
          </w:p>
        </w:tc>
        <w:tc>
          <w:tcPr>
            <w:tcW w:w="4021" w:type="dxa"/>
          </w:tcPr>
          <w:p w14:paraId="211715C3" w14:textId="4902D09B" w:rsidR="00FA7E9D" w:rsidRPr="006E3AE0" w:rsidRDefault="00FA7E9D" w:rsidP="00FA7E9D">
            <w:pPr>
              <w:pStyle w:val="ListParagraph"/>
              <w:numPr>
                <w:ilvl w:val="0"/>
                <w:numId w:val="28"/>
              </w:numPr>
              <w:autoSpaceDE w:val="0"/>
              <w:autoSpaceDN w:val="0"/>
              <w:adjustRightInd w:val="0"/>
              <w:spacing w:before="120" w:line="240" w:lineRule="auto"/>
              <w:ind w:left="417"/>
              <w:rPr>
                <w:rFonts w:asciiTheme="majorHAnsi" w:hAnsiTheme="majorHAnsi" w:cs="Arial"/>
              </w:rPr>
            </w:pPr>
            <w:r w:rsidRPr="006E3AE0">
              <w:rPr>
                <w:rFonts w:asciiTheme="majorHAnsi" w:hAnsiTheme="majorHAnsi" w:cs="Arial"/>
              </w:rPr>
              <w:t>Develop participation guidelines for the Working Group’s members</w:t>
            </w:r>
          </w:p>
        </w:tc>
        <w:tc>
          <w:tcPr>
            <w:tcW w:w="3384" w:type="dxa"/>
          </w:tcPr>
          <w:p w14:paraId="0DAAAFC9" w14:textId="25FDDCEC" w:rsidR="00FA7E9D" w:rsidRDefault="00FA7E9D" w:rsidP="00FA7E9D">
            <w:pPr>
              <w:spacing w:before="120" w:after="120" w:line="240" w:lineRule="auto"/>
              <w:jc w:val="both"/>
              <w:rPr>
                <w:rFonts w:asciiTheme="majorHAnsi" w:hAnsiTheme="majorHAnsi"/>
              </w:rPr>
            </w:pPr>
            <w:r>
              <w:rPr>
                <w:rFonts w:asciiTheme="majorHAnsi" w:hAnsiTheme="majorHAnsi"/>
              </w:rPr>
              <w:t>Participation guidelines for the WG’s members developed</w:t>
            </w:r>
          </w:p>
        </w:tc>
        <w:tc>
          <w:tcPr>
            <w:tcW w:w="4650" w:type="dxa"/>
          </w:tcPr>
          <w:p w14:paraId="229D48A2" w14:textId="197D16AC" w:rsidR="00FA7E9D" w:rsidRDefault="00FA7E9D" w:rsidP="00B16E18">
            <w:pPr>
              <w:spacing w:before="120" w:line="240" w:lineRule="auto"/>
              <w:jc w:val="both"/>
              <w:rPr>
                <w:rFonts w:asciiTheme="majorHAnsi" w:hAnsiTheme="majorHAnsi"/>
              </w:rPr>
            </w:pPr>
            <w:r w:rsidRPr="003E701D">
              <w:rPr>
                <w:rFonts w:asciiTheme="majorHAnsi" w:hAnsiTheme="majorHAnsi"/>
              </w:rPr>
              <w:t xml:space="preserve">Disseminated the Guidance Materials to Task team </w:t>
            </w:r>
            <w:r>
              <w:rPr>
                <w:rFonts w:asciiTheme="majorHAnsi" w:hAnsiTheme="majorHAnsi"/>
              </w:rPr>
              <w:t xml:space="preserve">and WGPD </w:t>
            </w:r>
            <w:r w:rsidRPr="003E701D">
              <w:rPr>
                <w:rFonts w:asciiTheme="majorHAnsi" w:hAnsiTheme="majorHAnsi"/>
              </w:rPr>
              <w:t>members</w:t>
            </w:r>
            <w:r>
              <w:rPr>
                <w:rFonts w:asciiTheme="majorHAnsi" w:hAnsiTheme="majorHAnsi"/>
              </w:rPr>
              <w:t xml:space="preserve"> relating to the revision of the WGPD Strategic Plan 2017 – 2022 and call for participation in Project 2.9 of the SDP for the IFPP 2017 - 2019</w:t>
            </w:r>
            <w:r w:rsidRPr="003E701D">
              <w:rPr>
                <w:rFonts w:asciiTheme="majorHAnsi" w:hAnsiTheme="majorHAnsi"/>
              </w:rPr>
              <w:t xml:space="preserve">.  </w:t>
            </w:r>
            <w:r>
              <w:rPr>
                <w:rFonts w:asciiTheme="majorHAnsi" w:hAnsiTheme="majorHAnsi"/>
              </w:rPr>
              <w:t>Call for participation to co-opt with Projects 2.5, 2.7, and 2.10 were done through surveys.</w:t>
            </w:r>
          </w:p>
          <w:p w14:paraId="31417007" w14:textId="77777777" w:rsidR="00FA7E9D" w:rsidRPr="006F30DC" w:rsidRDefault="00FA7E9D" w:rsidP="00FA7E9D">
            <w:pPr>
              <w:spacing w:before="120" w:line="240" w:lineRule="auto"/>
              <w:jc w:val="both"/>
              <w:rPr>
                <w:rFonts w:asciiTheme="majorHAnsi" w:hAnsiTheme="majorHAnsi"/>
                <w:i/>
                <w:u w:val="single"/>
                <w:lang w:val="en-PH"/>
              </w:rPr>
            </w:pPr>
            <w:r>
              <w:rPr>
                <w:rFonts w:asciiTheme="majorHAnsi" w:hAnsiTheme="majorHAnsi"/>
                <w:i/>
                <w:u w:val="single"/>
                <w:lang w:val="en-PH"/>
              </w:rPr>
              <w:lastRenderedPageBreak/>
              <w:t>Action items / key next items</w:t>
            </w:r>
          </w:p>
          <w:p w14:paraId="6826729B" w14:textId="131AA17E" w:rsidR="00FA7E9D" w:rsidRPr="003E701D" w:rsidRDefault="00FA7E9D" w:rsidP="00FA7E9D">
            <w:pPr>
              <w:spacing w:before="120" w:line="240" w:lineRule="auto"/>
              <w:jc w:val="both"/>
              <w:rPr>
                <w:rFonts w:asciiTheme="majorHAnsi" w:hAnsiTheme="majorHAnsi"/>
              </w:rPr>
            </w:pPr>
            <w:r>
              <w:rPr>
                <w:rFonts w:asciiTheme="majorHAnsi" w:hAnsiTheme="majorHAnsi"/>
              </w:rPr>
              <w:t xml:space="preserve">Feedback received from WGPD members will enable the following: (i) creation of </w:t>
            </w:r>
            <w:r w:rsidRPr="003E701D">
              <w:rPr>
                <w:rFonts w:asciiTheme="majorHAnsi" w:hAnsiTheme="majorHAnsi"/>
              </w:rPr>
              <w:t>task team</w:t>
            </w:r>
            <w:r>
              <w:rPr>
                <w:rFonts w:asciiTheme="majorHAnsi" w:hAnsiTheme="majorHAnsi"/>
              </w:rPr>
              <w:t xml:space="preserve">s for Project 2.9 as well as identification of members who will participate in co-opting with other Projects; (ii) drafting of the revised WGPD Strategic Plan which shall be </w:t>
            </w:r>
            <w:r w:rsidRPr="003E701D">
              <w:rPr>
                <w:rFonts w:asciiTheme="majorHAnsi" w:hAnsiTheme="majorHAnsi"/>
              </w:rPr>
              <w:t>discuss</w:t>
            </w:r>
            <w:r>
              <w:rPr>
                <w:rFonts w:asciiTheme="majorHAnsi" w:hAnsiTheme="majorHAnsi"/>
              </w:rPr>
              <w:t>ed</w:t>
            </w:r>
            <w:r w:rsidRPr="003E701D">
              <w:rPr>
                <w:rFonts w:asciiTheme="majorHAnsi" w:hAnsiTheme="majorHAnsi"/>
              </w:rPr>
              <w:t xml:space="preserve"> in a workshop at the </w:t>
            </w:r>
            <w:r>
              <w:rPr>
                <w:rFonts w:asciiTheme="majorHAnsi" w:hAnsiTheme="majorHAnsi"/>
              </w:rPr>
              <w:t xml:space="preserve">2017 </w:t>
            </w:r>
            <w:r w:rsidRPr="003E701D">
              <w:rPr>
                <w:rFonts w:asciiTheme="majorHAnsi" w:hAnsiTheme="majorHAnsi"/>
              </w:rPr>
              <w:t>WGPD Annual Meeting in September.</w:t>
            </w:r>
          </w:p>
        </w:tc>
      </w:tr>
    </w:tbl>
    <w:p w14:paraId="1CFE7CE8" w14:textId="77777777" w:rsidR="009F715C" w:rsidRPr="00AC6896" w:rsidRDefault="009F715C">
      <w:pPr>
        <w:rPr>
          <w:rFonts w:asciiTheme="majorHAnsi" w:eastAsia="Times New Roman" w:hAnsiTheme="majorHAnsi" w:cs="Times New Roman"/>
          <w:sz w:val="20"/>
          <w:szCs w:val="20"/>
          <w:lang w:val="en-US"/>
        </w:rPr>
      </w:pPr>
    </w:p>
    <w:sectPr w:rsidR="009F715C" w:rsidRPr="00AC6896" w:rsidSect="002438F6">
      <w:footerReference w:type="default" r:id="rId8"/>
      <w:pgSz w:w="16838" w:h="11906" w:orient="landscape"/>
      <w:pgMar w:top="1021" w:right="1440" w:bottom="90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3E0FF" w14:textId="77777777" w:rsidR="004E568B" w:rsidRDefault="004E568B" w:rsidP="00130036">
      <w:pPr>
        <w:spacing w:after="0" w:line="240" w:lineRule="auto"/>
      </w:pPr>
      <w:r>
        <w:separator/>
      </w:r>
    </w:p>
  </w:endnote>
  <w:endnote w:type="continuationSeparator" w:id="0">
    <w:p w14:paraId="104891E7" w14:textId="77777777" w:rsidR="004E568B" w:rsidRDefault="004E568B" w:rsidP="00130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inion Pro">
    <w:altName w:val="Minion Pro"/>
    <w:panose1 w:val="00000000000000000000"/>
    <w:charset w:val="00"/>
    <w:family w:val="roman"/>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4004269"/>
      <w:docPartObj>
        <w:docPartGallery w:val="Page Numbers (Bottom of Page)"/>
        <w:docPartUnique/>
      </w:docPartObj>
    </w:sdtPr>
    <w:sdtEndPr>
      <w:rPr>
        <w:noProof/>
      </w:rPr>
    </w:sdtEndPr>
    <w:sdtContent>
      <w:p w14:paraId="09E54B5F" w14:textId="7A75CC7C" w:rsidR="00130036" w:rsidRDefault="00130036">
        <w:pPr>
          <w:pStyle w:val="Footer"/>
          <w:jc w:val="center"/>
        </w:pPr>
        <w:r>
          <w:fldChar w:fldCharType="begin"/>
        </w:r>
        <w:r>
          <w:instrText xml:space="preserve"> PAGE   \* MERGEFORMAT </w:instrText>
        </w:r>
        <w:r>
          <w:fldChar w:fldCharType="separate"/>
        </w:r>
        <w:r w:rsidR="00A80313">
          <w:rPr>
            <w:noProof/>
          </w:rPr>
          <w:t>4</w:t>
        </w:r>
        <w:r>
          <w:rPr>
            <w:noProof/>
          </w:rPr>
          <w:fldChar w:fldCharType="end"/>
        </w:r>
      </w:p>
    </w:sdtContent>
  </w:sdt>
  <w:p w14:paraId="3C891FC7" w14:textId="77777777" w:rsidR="00130036" w:rsidRDefault="001300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D2536" w14:textId="77777777" w:rsidR="004E568B" w:rsidRDefault="004E568B" w:rsidP="00130036">
      <w:pPr>
        <w:spacing w:after="0" w:line="240" w:lineRule="auto"/>
      </w:pPr>
      <w:r>
        <w:separator/>
      </w:r>
    </w:p>
  </w:footnote>
  <w:footnote w:type="continuationSeparator" w:id="0">
    <w:p w14:paraId="3B30C072" w14:textId="77777777" w:rsidR="004E568B" w:rsidRDefault="004E568B" w:rsidP="00130036">
      <w:pPr>
        <w:spacing w:after="0" w:line="240" w:lineRule="auto"/>
      </w:pPr>
      <w:r>
        <w:continuationSeparator/>
      </w:r>
    </w:p>
  </w:footnote>
  <w:footnote w:id="1">
    <w:p w14:paraId="2A943588" w14:textId="77777777" w:rsidR="00711677" w:rsidRPr="003A55C8" w:rsidRDefault="00711677" w:rsidP="00FF5E3A">
      <w:pPr>
        <w:pStyle w:val="FootnoteText"/>
        <w:spacing w:after="60"/>
        <w:ind w:left="284" w:hanging="284"/>
        <w:rPr>
          <w:sz w:val="16"/>
          <w:szCs w:val="16"/>
        </w:rPr>
      </w:pPr>
      <w:r w:rsidRPr="003A55C8">
        <w:rPr>
          <w:rStyle w:val="FootnoteReference"/>
          <w:sz w:val="16"/>
          <w:szCs w:val="16"/>
        </w:rPr>
        <w:footnoteRef/>
      </w:r>
      <w:r w:rsidRPr="003A55C8">
        <w:rPr>
          <w:sz w:val="16"/>
          <w:szCs w:val="16"/>
        </w:rPr>
        <w:t xml:space="preserve">    In the case of single large projects / initiatives, the progress indicator could also be one of the following three progress statements: </w:t>
      </w:r>
      <w:r w:rsidRPr="003A55C8">
        <w:rPr>
          <w:sz w:val="16"/>
          <w:szCs w:val="16"/>
          <w:vertAlign w:val="superscript"/>
        </w:rPr>
        <w:t>(i)</w:t>
      </w:r>
      <w:r w:rsidRPr="003A55C8">
        <w:rPr>
          <w:sz w:val="16"/>
          <w:szCs w:val="16"/>
        </w:rPr>
        <w:t xml:space="preserve"> the project has been initiated/come into existence (has been defined, planned , and resourced),  </w:t>
      </w:r>
      <w:r w:rsidRPr="003A55C8">
        <w:rPr>
          <w:sz w:val="16"/>
          <w:szCs w:val="16"/>
          <w:vertAlign w:val="superscript"/>
        </w:rPr>
        <w:t>(ii)</w:t>
      </w:r>
      <w:r w:rsidRPr="003A55C8">
        <w:rPr>
          <w:sz w:val="16"/>
          <w:szCs w:val="16"/>
        </w:rPr>
        <w:t xml:space="preserve"> the project is being implemented (and is on track, or behind schedule, in trouble – green or amber or red</w:t>
      </w:r>
      <w:r w:rsidR="00A75398">
        <w:rPr>
          <w:sz w:val="16"/>
          <w:szCs w:val="16"/>
        </w:rPr>
        <w:t>/Purple</w:t>
      </w:r>
      <w:r w:rsidRPr="003A55C8">
        <w:rPr>
          <w:sz w:val="16"/>
          <w:szCs w:val="16"/>
        </w:rPr>
        <w:t xml:space="preserve">), and </w:t>
      </w:r>
      <w:r w:rsidRPr="003A55C8">
        <w:rPr>
          <w:sz w:val="16"/>
          <w:szCs w:val="16"/>
          <w:vertAlign w:val="superscript"/>
        </w:rPr>
        <w:t xml:space="preserve">(iii) </w:t>
      </w:r>
      <w:r w:rsidRPr="003A55C8">
        <w:rPr>
          <w:sz w:val="16"/>
          <w:szCs w:val="16"/>
        </w:rPr>
        <w:t xml:space="preserve">the project has delivered the main outcome (is either completed – black – or its outcome is functioning as intended / producing the results, e.g. a technical support function;  maintain, monitor and enhance). </w:t>
      </w:r>
      <w:r w:rsidR="00A75398">
        <w:rPr>
          <w:sz w:val="16"/>
          <w:szCs w:val="16"/>
        </w:rPr>
        <w:t>Appropriate colour may be chosen as the background of the cell.</w:t>
      </w:r>
    </w:p>
  </w:footnote>
  <w:footnote w:id="2">
    <w:p w14:paraId="12D66E16" w14:textId="77777777" w:rsidR="00A75398" w:rsidRPr="003A55C8" w:rsidRDefault="00711677" w:rsidP="00FF5E3A">
      <w:pPr>
        <w:pStyle w:val="FootnoteText"/>
        <w:ind w:left="284" w:hanging="284"/>
        <w:rPr>
          <w:sz w:val="16"/>
          <w:szCs w:val="16"/>
        </w:rPr>
      </w:pPr>
      <w:r w:rsidRPr="003A55C8">
        <w:rPr>
          <w:rStyle w:val="FootnoteReference"/>
          <w:sz w:val="16"/>
          <w:szCs w:val="16"/>
        </w:rPr>
        <w:footnoteRef/>
      </w:r>
      <w:r w:rsidRPr="003A55C8">
        <w:rPr>
          <w:sz w:val="16"/>
          <w:szCs w:val="16"/>
        </w:rPr>
        <w:t xml:space="preserve">    </w:t>
      </w:r>
      <w:r w:rsidR="000263DD">
        <w:rPr>
          <w:sz w:val="16"/>
          <w:szCs w:val="16"/>
        </w:rPr>
        <w:t>I</w:t>
      </w:r>
      <w:r w:rsidRPr="003A55C8">
        <w:rPr>
          <w:sz w:val="16"/>
          <w:szCs w:val="16"/>
        </w:rPr>
        <w:t>nclude</w:t>
      </w:r>
      <w:r w:rsidR="000263DD">
        <w:rPr>
          <w:sz w:val="16"/>
          <w:szCs w:val="16"/>
        </w:rPr>
        <w:t>s</w:t>
      </w:r>
      <w:r w:rsidR="008A7EB8">
        <w:rPr>
          <w:sz w:val="16"/>
          <w:szCs w:val="16"/>
        </w:rPr>
        <w:t xml:space="preserve"> d</w:t>
      </w:r>
      <w:r w:rsidRPr="003A55C8">
        <w:rPr>
          <w:sz w:val="16"/>
          <w:szCs w:val="16"/>
        </w:rPr>
        <w:t>etermining what actions and next steps are most needed to ensure continued pr</w:t>
      </w:r>
      <w:r w:rsidR="008A7EB8">
        <w:rPr>
          <w:sz w:val="16"/>
          <w:szCs w:val="16"/>
        </w:rPr>
        <w:t>ogress towards each objective.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97BEC"/>
    <w:multiLevelType w:val="hybridMultilevel"/>
    <w:tmpl w:val="A3580950"/>
    <w:lvl w:ilvl="0" w:tplc="1C090017">
      <w:start w:val="1"/>
      <w:numFmt w:val="lowerLetter"/>
      <w:lvlText w:val="%1)"/>
      <w:lvlJc w:val="left"/>
      <w:pPr>
        <w:ind w:left="754" w:hanging="360"/>
      </w:pPr>
    </w:lvl>
    <w:lvl w:ilvl="1" w:tplc="1C090019" w:tentative="1">
      <w:start w:val="1"/>
      <w:numFmt w:val="lowerLetter"/>
      <w:lvlText w:val="%2."/>
      <w:lvlJc w:val="left"/>
      <w:pPr>
        <w:ind w:left="1474" w:hanging="360"/>
      </w:pPr>
    </w:lvl>
    <w:lvl w:ilvl="2" w:tplc="1C09001B" w:tentative="1">
      <w:start w:val="1"/>
      <w:numFmt w:val="lowerRoman"/>
      <w:lvlText w:val="%3."/>
      <w:lvlJc w:val="right"/>
      <w:pPr>
        <w:ind w:left="2194" w:hanging="180"/>
      </w:pPr>
    </w:lvl>
    <w:lvl w:ilvl="3" w:tplc="1C09000F" w:tentative="1">
      <w:start w:val="1"/>
      <w:numFmt w:val="decimal"/>
      <w:lvlText w:val="%4."/>
      <w:lvlJc w:val="left"/>
      <w:pPr>
        <w:ind w:left="2914" w:hanging="360"/>
      </w:pPr>
    </w:lvl>
    <w:lvl w:ilvl="4" w:tplc="1C090019" w:tentative="1">
      <w:start w:val="1"/>
      <w:numFmt w:val="lowerLetter"/>
      <w:lvlText w:val="%5."/>
      <w:lvlJc w:val="left"/>
      <w:pPr>
        <w:ind w:left="3634" w:hanging="360"/>
      </w:pPr>
    </w:lvl>
    <w:lvl w:ilvl="5" w:tplc="1C09001B" w:tentative="1">
      <w:start w:val="1"/>
      <w:numFmt w:val="lowerRoman"/>
      <w:lvlText w:val="%6."/>
      <w:lvlJc w:val="right"/>
      <w:pPr>
        <w:ind w:left="4354" w:hanging="180"/>
      </w:pPr>
    </w:lvl>
    <w:lvl w:ilvl="6" w:tplc="1C09000F" w:tentative="1">
      <w:start w:val="1"/>
      <w:numFmt w:val="decimal"/>
      <w:lvlText w:val="%7."/>
      <w:lvlJc w:val="left"/>
      <w:pPr>
        <w:ind w:left="5074" w:hanging="360"/>
      </w:pPr>
    </w:lvl>
    <w:lvl w:ilvl="7" w:tplc="1C090019" w:tentative="1">
      <w:start w:val="1"/>
      <w:numFmt w:val="lowerLetter"/>
      <w:lvlText w:val="%8."/>
      <w:lvlJc w:val="left"/>
      <w:pPr>
        <w:ind w:left="5794" w:hanging="360"/>
      </w:pPr>
    </w:lvl>
    <w:lvl w:ilvl="8" w:tplc="1C09001B" w:tentative="1">
      <w:start w:val="1"/>
      <w:numFmt w:val="lowerRoman"/>
      <w:lvlText w:val="%9."/>
      <w:lvlJc w:val="right"/>
      <w:pPr>
        <w:ind w:left="6514" w:hanging="180"/>
      </w:pPr>
    </w:lvl>
  </w:abstractNum>
  <w:abstractNum w:abstractNumId="1">
    <w:nsid w:val="0C443690"/>
    <w:multiLevelType w:val="hybridMultilevel"/>
    <w:tmpl w:val="00284E2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nsid w:val="12352FE2"/>
    <w:multiLevelType w:val="hybridMultilevel"/>
    <w:tmpl w:val="4FC238CC"/>
    <w:lvl w:ilvl="0" w:tplc="6C9C1F18">
      <w:start w:val="1"/>
      <w:numFmt w:val="bullet"/>
      <w:lvlText w:val="•"/>
      <w:lvlJc w:val="left"/>
      <w:pPr>
        <w:tabs>
          <w:tab w:val="num" w:pos="720"/>
        </w:tabs>
        <w:ind w:left="720" w:hanging="360"/>
      </w:pPr>
      <w:rPr>
        <w:rFonts w:ascii="Times New Roman" w:hAnsi="Times New Roman" w:hint="default"/>
      </w:rPr>
    </w:lvl>
    <w:lvl w:ilvl="1" w:tplc="5F829D30" w:tentative="1">
      <w:start w:val="1"/>
      <w:numFmt w:val="bullet"/>
      <w:lvlText w:val="•"/>
      <w:lvlJc w:val="left"/>
      <w:pPr>
        <w:tabs>
          <w:tab w:val="num" w:pos="1440"/>
        </w:tabs>
        <w:ind w:left="1440" w:hanging="360"/>
      </w:pPr>
      <w:rPr>
        <w:rFonts w:ascii="Times New Roman" w:hAnsi="Times New Roman" w:hint="default"/>
      </w:rPr>
    </w:lvl>
    <w:lvl w:ilvl="2" w:tplc="D6AE7AD6" w:tentative="1">
      <w:start w:val="1"/>
      <w:numFmt w:val="bullet"/>
      <w:lvlText w:val="•"/>
      <w:lvlJc w:val="left"/>
      <w:pPr>
        <w:tabs>
          <w:tab w:val="num" w:pos="2160"/>
        </w:tabs>
        <w:ind w:left="2160" w:hanging="360"/>
      </w:pPr>
      <w:rPr>
        <w:rFonts w:ascii="Times New Roman" w:hAnsi="Times New Roman" w:hint="default"/>
      </w:rPr>
    </w:lvl>
    <w:lvl w:ilvl="3" w:tplc="0B181C48" w:tentative="1">
      <w:start w:val="1"/>
      <w:numFmt w:val="bullet"/>
      <w:lvlText w:val="•"/>
      <w:lvlJc w:val="left"/>
      <w:pPr>
        <w:tabs>
          <w:tab w:val="num" w:pos="2880"/>
        </w:tabs>
        <w:ind w:left="2880" w:hanging="360"/>
      </w:pPr>
      <w:rPr>
        <w:rFonts w:ascii="Times New Roman" w:hAnsi="Times New Roman" w:hint="default"/>
      </w:rPr>
    </w:lvl>
    <w:lvl w:ilvl="4" w:tplc="57F6EE6C" w:tentative="1">
      <w:start w:val="1"/>
      <w:numFmt w:val="bullet"/>
      <w:lvlText w:val="•"/>
      <w:lvlJc w:val="left"/>
      <w:pPr>
        <w:tabs>
          <w:tab w:val="num" w:pos="3600"/>
        </w:tabs>
        <w:ind w:left="3600" w:hanging="360"/>
      </w:pPr>
      <w:rPr>
        <w:rFonts w:ascii="Times New Roman" w:hAnsi="Times New Roman" w:hint="default"/>
      </w:rPr>
    </w:lvl>
    <w:lvl w:ilvl="5" w:tplc="4B0EEC50" w:tentative="1">
      <w:start w:val="1"/>
      <w:numFmt w:val="bullet"/>
      <w:lvlText w:val="•"/>
      <w:lvlJc w:val="left"/>
      <w:pPr>
        <w:tabs>
          <w:tab w:val="num" w:pos="4320"/>
        </w:tabs>
        <w:ind w:left="4320" w:hanging="360"/>
      </w:pPr>
      <w:rPr>
        <w:rFonts w:ascii="Times New Roman" w:hAnsi="Times New Roman" w:hint="default"/>
      </w:rPr>
    </w:lvl>
    <w:lvl w:ilvl="6" w:tplc="3CDAEC7A" w:tentative="1">
      <w:start w:val="1"/>
      <w:numFmt w:val="bullet"/>
      <w:lvlText w:val="•"/>
      <w:lvlJc w:val="left"/>
      <w:pPr>
        <w:tabs>
          <w:tab w:val="num" w:pos="5040"/>
        </w:tabs>
        <w:ind w:left="5040" w:hanging="360"/>
      </w:pPr>
      <w:rPr>
        <w:rFonts w:ascii="Times New Roman" w:hAnsi="Times New Roman" w:hint="default"/>
      </w:rPr>
    </w:lvl>
    <w:lvl w:ilvl="7" w:tplc="9BC8BB04" w:tentative="1">
      <w:start w:val="1"/>
      <w:numFmt w:val="bullet"/>
      <w:lvlText w:val="•"/>
      <w:lvlJc w:val="left"/>
      <w:pPr>
        <w:tabs>
          <w:tab w:val="num" w:pos="5760"/>
        </w:tabs>
        <w:ind w:left="5760" w:hanging="360"/>
      </w:pPr>
      <w:rPr>
        <w:rFonts w:ascii="Times New Roman" w:hAnsi="Times New Roman" w:hint="default"/>
      </w:rPr>
    </w:lvl>
    <w:lvl w:ilvl="8" w:tplc="0BCA9508" w:tentative="1">
      <w:start w:val="1"/>
      <w:numFmt w:val="bullet"/>
      <w:lvlText w:val="•"/>
      <w:lvlJc w:val="left"/>
      <w:pPr>
        <w:tabs>
          <w:tab w:val="num" w:pos="6480"/>
        </w:tabs>
        <w:ind w:left="6480" w:hanging="360"/>
      </w:pPr>
      <w:rPr>
        <w:rFonts w:ascii="Times New Roman" w:hAnsi="Times New Roman" w:hint="default"/>
      </w:rPr>
    </w:lvl>
  </w:abstractNum>
  <w:abstractNum w:abstractNumId="3">
    <w:nsid w:val="19C67D9D"/>
    <w:multiLevelType w:val="hybridMultilevel"/>
    <w:tmpl w:val="959AA888"/>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nsid w:val="1A0D2686"/>
    <w:multiLevelType w:val="hybridMultilevel"/>
    <w:tmpl w:val="5CB2A9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nsid w:val="1A6F5299"/>
    <w:multiLevelType w:val="hybridMultilevel"/>
    <w:tmpl w:val="B6BAAE42"/>
    <w:lvl w:ilvl="0" w:tplc="B7C457F4">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
    <w:nsid w:val="1BA370EC"/>
    <w:multiLevelType w:val="hybridMultilevel"/>
    <w:tmpl w:val="C512D3F4"/>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217F45B4"/>
    <w:multiLevelType w:val="hybridMultilevel"/>
    <w:tmpl w:val="7D9A01C0"/>
    <w:lvl w:ilvl="0" w:tplc="1C09001B">
      <w:start w:val="1"/>
      <w:numFmt w:val="lowerRoman"/>
      <w:lvlText w:val="%1."/>
      <w:lvlJc w:val="right"/>
      <w:pPr>
        <w:ind w:left="612" w:hanging="360"/>
      </w:pPr>
    </w:lvl>
    <w:lvl w:ilvl="1" w:tplc="1C090019" w:tentative="1">
      <w:start w:val="1"/>
      <w:numFmt w:val="lowerLetter"/>
      <w:lvlText w:val="%2."/>
      <w:lvlJc w:val="left"/>
      <w:pPr>
        <w:ind w:left="1332" w:hanging="360"/>
      </w:pPr>
    </w:lvl>
    <w:lvl w:ilvl="2" w:tplc="1C09001B" w:tentative="1">
      <w:start w:val="1"/>
      <w:numFmt w:val="lowerRoman"/>
      <w:lvlText w:val="%3."/>
      <w:lvlJc w:val="right"/>
      <w:pPr>
        <w:ind w:left="2052" w:hanging="180"/>
      </w:pPr>
    </w:lvl>
    <w:lvl w:ilvl="3" w:tplc="1C09000F" w:tentative="1">
      <w:start w:val="1"/>
      <w:numFmt w:val="decimal"/>
      <w:lvlText w:val="%4."/>
      <w:lvlJc w:val="left"/>
      <w:pPr>
        <w:ind w:left="2772" w:hanging="360"/>
      </w:pPr>
    </w:lvl>
    <w:lvl w:ilvl="4" w:tplc="1C090019" w:tentative="1">
      <w:start w:val="1"/>
      <w:numFmt w:val="lowerLetter"/>
      <w:lvlText w:val="%5."/>
      <w:lvlJc w:val="left"/>
      <w:pPr>
        <w:ind w:left="3492" w:hanging="360"/>
      </w:pPr>
    </w:lvl>
    <w:lvl w:ilvl="5" w:tplc="1C09001B" w:tentative="1">
      <w:start w:val="1"/>
      <w:numFmt w:val="lowerRoman"/>
      <w:lvlText w:val="%6."/>
      <w:lvlJc w:val="right"/>
      <w:pPr>
        <w:ind w:left="4212" w:hanging="180"/>
      </w:pPr>
    </w:lvl>
    <w:lvl w:ilvl="6" w:tplc="1C09000F" w:tentative="1">
      <w:start w:val="1"/>
      <w:numFmt w:val="decimal"/>
      <w:lvlText w:val="%7."/>
      <w:lvlJc w:val="left"/>
      <w:pPr>
        <w:ind w:left="4932" w:hanging="360"/>
      </w:pPr>
    </w:lvl>
    <w:lvl w:ilvl="7" w:tplc="1C090019" w:tentative="1">
      <w:start w:val="1"/>
      <w:numFmt w:val="lowerLetter"/>
      <w:lvlText w:val="%8."/>
      <w:lvlJc w:val="left"/>
      <w:pPr>
        <w:ind w:left="5652" w:hanging="360"/>
      </w:pPr>
    </w:lvl>
    <w:lvl w:ilvl="8" w:tplc="1C09001B" w:tentative="1">
      <w:start w:val="1"/>
      <w:numFmt w:val="lowerRoman"/>
      <w:lvlText w:val="%9."/>
      <w:lvlJc w:val="right"/>
      <w:pPr>
        <w:ind w:left="6372" w:hanging="180"/>
      </w:pPr>
    </w:lvl>
  </w:abstractNum>
  <w:abstractNum w:abstractNumId="8">
    <w:nsid w:val="260430A6"/>
    <w:multiLevelType w:val="hybridMultilevel"/>
    <w:tmpl w:val="230E3346"/>
    <w:lvl w:ilvl="0" w:tplc="1C090005">
      <w:start w:val="1"/>
      <w:numFmt w:val="bullet"/>
      <w:lvlText w:val=""/>
      <w:lvlJc w:val="left"/>
      <w:pPr>
        <w:ind w:left="1080" w:hanging="360"/>
      </w:pPr>
      <w:rPr>
        <w:rFonts w:ascii="Wingdings" w:hAnsi="Wingding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nsid w:val="289D489F"/>
    <w:multiLevelType w:val="hybridMultilevel"/>
    <w:tmpl w:val="6C8A4DA8"/>
    <w:lvl w:ilvl="0" w:tplc="BDFE73AE">
      <w:start w:val="1"/>
      <w:numFmt w:val="bullet"/>
      <w:lvlText w:val="•"/>
      <w:lvlJc w:val="left"/>
      <w:pPr>
        <w:tabs>
          <w:tab w:val="num" w:pos="720"/>
        </w:tabs>
        <w:ind w:left="720" w:hanging="360"/>
      </w:pPr>
      <w:rPr>
        <w:rFonts w:ascii="Times New Roman" w:hAnsi="Times New Roman" w:hint="default"/>
      </w:rPr>
    </w:lvl>
    <w:lvl w:ilvl="1" w:tplc="45925C9E" w:tentative="1">
      <w:start w:val="1"/>
      <w:numFmt w:val="bullet"/>
      <w:lvlText w:val="•"/>
      <w:lvlJc w:val="left"/>
      <w:pPr>
        <w:tabs>
          <w:tab w:val="num" w:pos="1440"/>
        </w:tabs>
        <w:ind w:left="1440" w:hanging="360"/>
      </w:pPr>
      <w:rPr>
        <w:rFonts w:ascii="Times New Roman" w:hAnsi="Times New Roman" w:hint="default"/>
      </w:rPr>
    </w:lvl>
    <w:lvl w:ilvl="2" w:tplc="982A16C6" w:tentative="1">
      <w:start w:val="1"/>
      <w:numFmt w:val="bullet"/>
      <w:lvlText w:val="•"/>
      <w:lvlJc w:val="left"/>
      <w:pPr>
        <w:tabs>
          <w:tab w:val="num" w:pos="2160"/>
        </w:tabs>
        <w:ind w:left="2160" w:hanging="360"/>
      </w:pPr>
      <w:rPr>
        <w:rFonts w:ascii="Times New Roman" w:hAnsi="Times New Roman" w:hint="default"/>
      </w:rPr>
    </w:lvl>
    <w:lvl w:ilvl="3" w:tplc="FF04F42E" w:tentative="1">
      <w:start w:val="1"/>
      <w:numFmt w:val="bullet"/>
      <w:lvlText w:val="•"/>
      <w:lvlJc w:val="left"/>
      <w:pPr>
        <w:tabs>
          <w:tab w:val="num" w:pos="2880"/>
        </w:tabs>
        <w:ind w:left="2880" w:hanging="360"/>
      </w:pPr>
      <w:rPr>
        <w:rFonts w:ascii="Times New Roman" w:hAnsi="Times New Roman" w:hint="default"/>
      </w:rPr>
    </w:lvl>
    <w:lvl w:ilvl="4" w:tplc="33C2F752" w:tentative="1">
      <w:start w:val="1"/>
      <w:numFmt w:val="bullet"/>
      <w:lvlText w:val="•"/>
      <w:lvlJc w:val="left"/>
      <w:pPr>
        <w:tabs>
          <w:tab w:val="num" w:pos="3600"/>
        </w:tabs>
        <w:ind w:left="3600" w:hanging="360"/>
      </w:pPr>
      <w:rPr>
        <w:rFonts w:ascii="Times New Roman" w:hAnsi="Times New Roman" w:hint="default"/>
      </w:rPr>
    </w:lvl>
    <w:lvl w:ilvl="5" w:tplc="8B12AE4A" w:tentative="1">
      <w:start w:val="1"/>
      <w:numFmt w:val="bullet"/>
      <w:lvlText w:val="•"/>
      <w:lvlJc w:val="left"/>
      <w:pPr>
        <w:tabs>
          <w:tab w:val="num" w:pos="4320"/>
        </w:tabs>
        <w:ind w:left="4320" w:hanging="360"/>
      </w:pPr>
      <w:rPr>
        <w:rFonts w:ascii="Times New Roman" w:hAnsi="Times New Roman" w:hint="default"/>
      </w:rPr>
    </w:lvl>
    <w:lvl w:ilvl="6" w:tplc="D05AC4F6" w:tentative="1">
      <w:start w:val="1"/>
      <w:numFmt w:val="bullet"/>
      <w:lvlText w:val="•"/>
      <w:lvlJc w:val="left"/>
      <w:pPr>
        <w:tabs>
          <w:tab w:val="num" w:pos="5040"/>
        </w:tabs>
        <w:ind w:left="5040" w:hanging="360"/>
      </w:pPr>
      <w:rPr>
        <w:rFonts w:ascii="Times New Roman" w:hAnsi="Times New Roman" w:hint="default"/>
      </w:rPr>
    </w:lvl>
    <w:lvl w:ilvl="7" w:tplc="832828A0" w:tentative="1">
      <w:start w:val="1"/>
      <w:numFmt w:val="bullet"/>
      <w:lvlText w:val="•"/>
      <w:lvlJc w:val="left"/>
      <w:pPr>
        <w:tabs>
          <w:tab w:val="num" w:pos="5760"/>
        </w:tabs>
        <w:ind w:left="5760" w:hanging="360"/>
      </w:pPr>
      <w:rPr>
        <w:rFonts w:ascii="Times New Roman" w:hAnsi="Times New Roman" w:hint="default"/>
      </w:rPr>
    </w:lvl>
    <w:lvl w:ilvl="8" w:tplc="CE9A737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E3857FD"/>
    <w:multiLevelType w:val="hybridMultilevel"/>
    <w:tmpl w:val="45A0936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nsid w:val="37A72E12"/>
    <w:multiLevelType w:val="hybridMultilevel"/>
    <w:tmpl w:val="AD7E5362"/>
    <w:lvl w:ilvl="0" w:tplc="1C09001B">
      <w:start w:val="1"/>
      <w:numFmt w:val="lowerRoman"/>
      <w:lvlText w:val="%1."/>
      <w:lvlJc w:val="right"/>
      <w:pPr>
        <w:ind w:left="754" w:hanging="720"/>
      </w:pPr>
      <w:rPr>
        <w:rFonts w:hint="default"/>
      </w:rPr>
    </w:lvl>
    <w:lvl w:ilvl="1" w:tplc="1C090019" w:tentative="1">
      <w:start w:val="1"/>
      <w:numFmt w:val="lowerLetter"/>
      <w:lvlText w:val="%2."/>
      <w:lvlJc w:val="left"/>
      <w:pPr>
        <w:ind w:left="1114" w:hanging="360"/>
      </w:pPr>
    </w:lvl>
    <w:lvl w:ilvl="2" w:tplc="1C09001B" w:tentative="1">
      <w:start w:val="1"/>
      <w:numFmt w:val="lowerRoman"/>
      <w:lvlText w:val="%3."/>
      <w:lvlJc w:val="right"/>
      <w:pPr>
        <w:ind w:left="1834" w:hanging="180"/>
      </w:pPr>
    </w:lvl>
    <w:lvl w:ilvl="3" w:tplc="1C09000F" w:tentative="1">
      <w:start w:val="1"/>
      <w:numFmt w:val="decimal"/>
      <w:lvlText w:val="%4."/>
      <w:lvlJc w:val="left"/>
      <w:pPr>
        <w:ind w:left="2554" w:hanging="360"/>
      </w:pPr>
    </w:lvl>
    <w:lvl w:ilvl="4" w:tplc="1C090019" w:tentative="1">
      <w:start w:val="1"/>
      <w:numFmt w:val="lowerLetter"/>
      <w:lvlText w:val="%5."/>
      <w:lvlJc w:val="left"/>
      <w:pPr>
        <w:ind w:left="3274" w:hanging="360"/>
      </w:pPr>
    </w:lvl>
    <w:lvl w:ilvl="5" w:tplc="1C09001B" w:tentative="1">
      <w:start w:val="1"/>
      <w:numFmt w:val="lowerRoman"/>
      <w:lvlText w:val="%6."/>
      <w:lvlJc w:val="right"/>
      <w:pPr>
        <w:ind w:left="3994" w:hanging="180"/>
      </w:pPr>
    </w:lvl>
    <w:lvl w:ilvl="6" w:tplc="1C09000F" w:tentative="1">
      <w:start w:val="1"/>
      <w:numFmt w:val="decimal"/>
      <w:lvlText w:val="%7."/>
      <w:lvlJc w:val="left"/>
      <w:pPr>
        <w:ind w:left="4714" w:hanging="360"/>
      </w:pPr>
    </w:lvl>
    <w:lvl w:ilvl="7" w:tplc="1C090019" w:tentative="1">
      <w:start w:val="1"/>
      <w:numFmt w:val="lowerLetter"/>
      <w:lvlText w:val="%8."/>
      <w:lvlJc w:val="left"/>
      <w:pPr>
        <w:ind w:left="5434" w:hanging="360"/>
      </w:pPr>
    </w:lvl>
    <w:lvl w:ilvl="8" w:tplc="1C09001B" w:tentative="1">
      <w:start w:val="1"/>
      <w:numFmt w:val="lowerRoman"/>
      <w:lvlText w:val="%9."/>
      <w:lvlJc w:val="right"/>
      <w:pPr>
        <w:ind w:left="6154" w:hanging="180"/>
      </w:pPr>
    </w:lvl>
  </w:abstractNum>
  <w:abstractNum w:abstractNumId="12">
    <w:nsid w:val="3ABB5184"/>
    <w:multiLevelType w:val="hybridMultilevel"/>
    <w:tmpl w:val="1BAE57B4"/>
    <w:lvl w:ilvl="0" w:tplc="1C090017">
      <w:start w:val="1"/>
      <w:numFmt w:val="lowerLetter"/>
      <w:lvlText w:val="%1)"/>
      <w:lvlJc w:val="left"/>
      <w:pPr>
        <w:ind w:left="720" w:hanging="360"/>
      </w:pPr>
      <w:rPr>
        <w:rFonts w:hint="default"/>
      </w:rPr>
    </w:lvl>
    <w:lvl w:ilvl="1" w:tplc="AAB6BD92">
      <w:start w:val="1"/>
      <w:numFmt w:val="decimal"/>
      <w:lvlText w:val="%2."/>
      <w:lvlJc w:val="left"/>
      <w:pPr>
        <w:ind w:left="1480" w:hanging="400"/>
      </w:pPr>
      <w:rPr>
        <w:rFont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3B25444F"/>
    <w:multiLevelType w:val="hybridMultilevel"/>
    <w:tmpl w:val="92FC4C98"/>
    <w:lvl w:ilvl="0" w:tplc="40090001">
      <w:start w:val="1"/>
      <w:numFmt w:val="bullet"/>
      <w:lvlText w:val=""/>
      <w:lvlJc w:val="left"/>
      <w:pPr>
        <w:ind w:left="702" w:hanging="360"/>
      </w:pPr>
      <w:rPr>
        <w:rFonts w:ascii="Symbol" w:hAnsi="Symbol" w:hint="default"/>
      </w:rPr>
    </w:lvl>
    <w:lvl w:ilvl="1" w:tplc="40090003" w:tentative="1">
      <w:start w:val="1"/>
      <w:numFmt w:val="bullet"/>
      <w:lvlText w:val="o"/>
      <w:lvlJc w:val="left"/>
      <w:pPr>
        <w:ind w:left="1422" w:hanging="360"/>
      </w:pPr>
      <w:rPr>
        <w:rFonts w:ascii="Courier New" w:hAnsi="Courier New" w:cs="Courier New" w:hint="default"/>
      </w:rPr>
    </w:lvl>
    <w:lvl w:ilvl="2" w:tplc="40090005" w:tentative="1">
      <w:start w:val="1"/>
      <w:numFmt w:val="bullet"/>
      <w:lvlText w:val=""/>
      <w:lvlJc w:val="left"/>
      <w:pPr>
        <w:ind w:left="2142" w:hanging="360"/>
      </w:pPr>
      <w:rPr>
        <w:rFonts w:ascii="Wingdings" w:hAnsi="Wingdings" w:hint="default"/>
      </w:rPr>
    </w:lvl>
    <w:lvl w:ilvl="3" w:tplc="40090001" w:tentative="1">
      <w:start w:val="1"/>
      <w:numFmt w:val="bullet"/>
      <w:lvlText w:val=""/>
      <w:lvlJc w:val="left"/>
      <w:pPr>
        <w:ind w:left="2862" w:hanging="360"/>
      </w:pPr>
      <w:rPr>
        <w:rFonts w:ascii="Symbol" w:hAnsi="Symbol" w:hint="default"/>
      </w:rPr>
    </w:lvl>
    <w:lvl w:ilvl="4" w:tplc="40090003" w:tentative="1">
      <w:start w:val="1"/>
      <w:numFmt w:val="bullet"/>
      <w:lvlText w:val="o"/>
      <w:lvlJc w:val="left"/>
      <w:pPr>
        <w:ind w:left="3582" w:hanging="360"/>
      </w:pPr>
      <w:rPr>
        <w:rFonts w:ascii="Courier New" w:hAnsi="Courier New" w:cs="Courier New" w:hint="default"/>
      </w:rPr>
    </w:lvl>
    <w:lvl w:ilvl="5" w:tplc="40090005" w:tentative="1">
      <w:start w:val="1"/>
      <w:numFmt w:val="bullet"/>
      <w:lvlText w:val=""/>
      <w:lvlJc w:val="left"/>
      <w:pPr>
        <w:ind w:left="4302" w:hanging="360"/>
      </w:pPr>
      <w:rPr>
        <w:rFonts w:ascii="Wingdings" w:hAnsi="Wingdings" w:hint="default"/>
      </w:rPr>
    </w:lvl>
    <w:lvl w:ilvl="6" w:tplc="40090001" w:tentative="1">
      <w:start w:val="1"/>
      <w:numFmt w:val="bullet"/>
      <w:lvlText w:val=""/>
      <w:lvlJc w:val="left"/>
      <w:pPr>
        <w:ind w:left="5022" w:hanging="360"/>
      </w:pPr>
      <w:rPr>
        <w:rFonts w:ascii="Symbol" w:hAnsi="Symbol" w:hint="default"/>
      </w:rPr>
    </w:lvl>
    <w:lvl w:ilvl="7" w:tplc="40090003" w:tentative="1">
      <w:start w:val="1"/>
      <w:numFmt w:val="bullet"/>
      <w:lvlText w:val="o"/>
      <w:lvlJc w:val="left"/>
      <w:pPr>
        <w:ind w:left="5742" w:hanging="360"/>
      </w:pPr>
      <w:rPr>
        <w:rFonts w:ascii="Courier New" w:hAnsi="Courier New" w:cs="Courier New" w:hint="default"/>
      </w:rPr>
    </w:lvl>
    <w:lvl w:ilvl="8" w:tplc="40090005" w:tentative="1">
      <w:start w:val="1"/>
      <w:numFmt w:val="bullet"/>
      <w:lvlText w:val=""/>
      <w:lvlJc w:val="left"/>
      <w:pPr>
        <w:ind w:left="6462" w:hanging="360"/>
      </w:pPr>
      <w:rPr>
        <w:rFonts w:ascii="Wingdings" w:hAnsi="Wingdings" w:hint="default"/>
      </w:rPr>
    </w:lvl>
  </w:abstractNum>
  <w:abstractNum w:abstractNumId="14">
    <w:nsid w:val="3D0E7553"/>
    <w:multiLevelType w:val="hybridMultilevel"/>
    <w:tmpl w:val="2736BEB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nsid w:val="3E2B4443"/>
    <w:multiLevelType w:val="hybridMultilevel"/>
    <w:tmpl w:val="896C907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439028DC"/>
    <w:multiLevelType w:val="hybridMultilevel"/>
    <w:tmpl w:val="526ED9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E31353"/>
    <w:multiLevelType w:val="hybridMultilevel"/>
    <w:tmpl w:val="F202CA24"/>
    <w:lvl w:ilvl="0" w:tplc="3B00E32A">
      <w:start w:val="1"/>
      <w:numFmt w:val="bullet"/>
      <w:lvlText w:val="•"/>
      <w:lvlJc w:val="left"/>
      <w:pPr>
        <w:tabs>
          <w:tab w:val="num" w:pos="720"/>
        </w:tabs>
        <w:ind w:left="720" w:hanging="360"/>
      </w:pPr>
      <w:rPr>
        <w:rFonts w:ascii="Times New Roman" w:hAnsi="Times New Roman" w:hint="default"/>
      </w:rPr>
    </w:lvl>
    <w:lvl w:ilvl="1" w:tplc="64F8D99C" w:tentative="1">
      <w:start w:val="1"/>
      <w:numFmt w:val="bullet"/>
      <w:lvlText w:val="•"/>
      <w:lvlJc w:val="left"/>
      <w:pPr>
        <w:tabs>
          <w:tab w:val="num" w:pos="1440"/>
        </w:tabs>
        <w:ind w:left="1440" w:hanging="360"/>
      </w:pPr>
      <w:rPr>
        <w:rFonts w:ascii="Times New Roman" w:hAnsi="Times New Roman" w:hint="default"/>
      </w:rPr>
    </w:lvl>
    <w:lvl w:ilvl="2" w:tplc="F0D6CA88" w:tentative="1">
      <w:start w:val="1"/>
      <w:numFmt w:val="bullet"/>
      <w:lvlText w:val="•"/>
      <w:lvlJc w:val="left"/>
      <w:pPr>
        <w:tabs>
          <w:tab w:val="num" w:pos="2160"/>
        </w:tabs>
        <w:ind w:left="2160" w:hanging="360"/>
      </w:pPr>
      <w:rPr>
        <w:rFonts w:ascii="Times New Roman" w:hAnsi="Times New Roman" w:hint="default"/>
      </w:rPr>
    </w:lvl>
    <w:lvl w:ilvl="3" w:tplc="6AB2BBA4" w:tentative="1">
      <w:start w:val="1"/>
      <w:numFmt w:val="bullet"/>
      <w:lvlText w:val="•"/>
      <w:lvlJc w:val="left"/>
      <w:pPr>
        <w:tabs>
          <w:tab w:val="num" w:pos="2880"/>
        </w:tabs>
        <w:ind w:left="2880" w:hanging="360"/>
      </w:pPr>
      <w:rPr>
        <w:rFonts w:ascii="Times New Roman" w:hAnsi="Times New Roman" w:hint="default"/>
      </w:rPr>
    </w:lvl>
    <w:lvl w:ilvl="4" w:tplc="00AC0074" w:tentative="1">
      <w:start w:val="1"/>
      <w:numFmt w:val="bullet"/>
      <w:lvlText w:val="•"/>
      <w:lvlJc w:val="left"/>
      <w:pPr>
        <w:tabs>
          <w:tab w:val="num" w:pos="3600"/>
        </w:tabs>
        <w:ind w:left="3600" w:hanging="360"/>
      </w:pPr>
      <w:rPr>
        <w:rFonts w:ascii="Times New Roman" w:hAnsi="Times New Roman" w:hint="default"/>
      </w:rPr>
    </w:lvl>
    <w:lvl w:ilvl="5" w:tplc="D02A5380" w:tentative="1">
      <w:start w:val="1"/>
      <w:numFmt w:val="bullet"/>
      <w:lvlText w:val="•"/>
      <w:lvlJc w:val="left"/>
      <w:pPr>
        <w:tabs>
          <w:tab w:val="num" w:pos="4320"/>
        </w:tabs>
        <w:ind w:left="4320" w:hanging="360"/>
      </w:pPr>
      <w:rPr>
        <w:rFonts w:ascii="Times New Roman" w:hAnsi="Times New Roman" w:hint="default"/>
      </w:rPr>
    </w:lvl>
    <w:lvl w:ilvl="6" w:tplc="B2760AEA" w:tentative="1">
      <w:start w:val="1"/>
      <w:numFmt w:val="bullet"/>
      <w:lvlText w:val="•"/>
      <w:lvlJc w:val="left"/>
      <w:pPr>
        <w:tabs>
          <w:tab w:val="num" w:pos="5040"/>
        </w:tabs>
        <w:ind w:left="5040" w:hanging="360"/>
      </w:pPr>
      <w:rPr>
        <w:rFonts w:ascii="Times New Roman" w:hAnsi="Times New Roman" w:hint="default"/>
      </w:rPr>
    </w:lvl>
    <w:lvl w:ilvl="7" w:tplc="2A3C9AE2" w:tentative="1">
      <w:start w:val="1"/>
      <w:numFmt w:val="bullet"/>
      <w:lvlText w:val="•"/>
      <w:lvlJc w:val="left"/>
      <w:pPr>
        <w:tabs>
          <w:tab w:val="num" w:pos="5760"/>
        </w:tabs>
        <w:ind w:left="5760" w:hanging="360"/>
      </w:pPr>
      <w:rPr>
        <w:rFonts w:ascii="Times New Roman" w:hAnsi="Times New Roman" w:hint="default"/>
      </w:rPr>
    </w:lvl>
    <w:lvl w:ilvl="8" w:tplc="406CC73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A4E4723"/>
    <w:multiLevelType w:val="hybridMultilevel"/>
    <w:tmpl w:val="AEF2E5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CC21A6"/>
    <w:multiLevelType w:val="hybridMultilevel"/>
    <w:tmpl w:val="8FAC311E"/>
    <w:lvl w:ilvl="0" w:tplc="1C090005">
      <w:start w:val="1"/>
      <w:numFmt w:val="bullet"/>
      <w:lvlText w:val=""/>
      <w:lvlJc w:val="left"/>
      <w:pPr>
        <w:ind w:left="819" w:hanging="360"/>
      </w:pPr>
      <w:rPr>
        <w:rFonts w:ascii="Wingdings" w:hAnsi="Wingdings" w:hint="default"/>
      </w:rPr>
    </w:lvl>
    <w:lvl w:ilvl="1" w:tplc="1C090003" w:tentative="1">
      <w:start w:val="1"/>
      <w:numFmt w:val="bullet"/>
      <w:lvlText w:val="o"/>
      <w:lvlJc w:val="left"/>
      <w:pPr>
        <w:ind w:left="1539" w:hanging="360"/>
      </w:pPr>
      <w:rPr>
        <w:rFonts w:ascii="Courier New" w:hAnsi="Courier New" w:cs="Courier New" w:hint="default"/>
      </w:rPr>
    </w:lvl>
    <w:lvl w:ilvl="2" w:tplc="1C090005" w:tentative="1">
      <w:start w:val="1"/>
      <w:numFmt w:val="bullet"/>
      <w:lvlText w:val=""/>
      <w:lvlJc w:val="left"/>
      <w:pPr>
        <w:ind w:left="2259" w:hanging="360"/>
      </w:pPr>
      <w:rPr>
        <w:rFonts w:ascii="Wingdings" w:hAnsi="Wingdings" w:hint="default"/>
      </w:rPr>
    </w:lvl>
    <w:lvl w:ilvl="3" w:tplc="1C090001" w:tentative="1">
      <w:start w:val="1"/>
      <w:numFmt w:val="bullet"/>
      <w:lvlText w:val=""/>
      <w:lvlJc w:val="left"/>
      <w:pPr>
        <w:ind w:left="2979" w:hanging="360"/>
      </w:pPr>
      <w:rPr>
        <w:rFonts w:ascii="Symbol" w:hAnsi="Symbol" w:hint="default"/>
      </w:rPr>
    </w:lvl>
    <w:lvl w:ilvl="4" w:tplc="1C090003" w:tentative="1">
      <w:start w:val="1"/>
      <w:numFmt w:val="bullet"/>
      <w:lvlText w:val="o"/>
      <w:lvlJc w:val="left"/>
      <w:pPr>
        <w:ind w:left="3699" w:hanging="360"/>
      </w:pPr>
      <w:rPr>
        <w:rFonts w:ascii="Courier New" w:hAnsi="Courier New" w:cs="Courier New" w:hint="default"/>
      </w:rPr>
    </w:lvl>
    <w:lvl w:ilvl="5" w:tplc="1C090005" w:tentative="1">
      <w:start w:val="1"/>
      <w:numFmt w:val="bullet"/>
      <w:lvlText w:val=""/>
      <w:lvlJc w:val="left"/>
      <w:pPr>
        <w:ind w:left="4419" w:hanging="360"/>
      </w:pPr>
      <w:rPr>
        <w:rFonts w:ascii="Wingdings" w:hAnsi="Wingdings" w:hint="default"/>
      </w:rPr>
    </w:lvl>
    <w:lvl w:ilvl="6" w:tplc="1C090001" w:tentative="1">
      <w:start w:val="1"/>
      <w:numFmt w:val="bullet"/>
      <w:lvlText w:val=""/>
      <w:lvlJc w:val="left"/>
      <w:pPr>
        <w:ind w:left="5139" w:hanging="360"/>
      </w:pPr>
      <w:rPr>
        <w:rFonts w:ascii="Symbol" w:hAnsi="Symbol" w:hint="default"/>
      </w:rPr>
    </w:lvl>
    <w:lvl w:ilvl="7" w:tplc="1C090003" w:tentative="1">
      <w:start w:val="1"/>
      <w:numFmt w:val="bullet"/>
      <w:lvlText w:val="o"/>
      <w:lvlJc w:val="left"/>
      <w:pPr>
        <w:ind w:left="5859" w:hanging="360"/>
      </w:pPr>
      <w:rPr>
        <w:rFonts w:ascii="Courier New" w:hAnsi="Courier New" w:cs="Courier New" w:hint="default"/>
      </w:rPr>
    </w:lvl>
    <w:lvl w:ilvl="8" w:tplc="1C090005" w:tentative="1">
      <w:start w:val="1"/>
      <w:numFmt w:val="bullet"/>
      <w:lvlText w:val=""/>
      <w:lvlJc w:val="left"/>
      <w:pPr>
        <w:ind w:left="6579" w:hanging="360"/>
      </w:pPr>
      <w:rPr>
        <w:rFonts w:ascii="Wingdings" w:hAnsi="Wingdings" w:hint="default"/>
      </w:rPr>
    </w:lvl>
  </w:abstractNum>
  <w:abstractNum w:abstractNumId="20">
    <w:nsid w:val="4FC27C4C"/>
    <w:multiLevelType w:val="hybridMultilevel"/>
    <w:tmpl w:val="A3C09732"/>
    <w:lvl w:ilvl="0" w:tplc="1C090017">
      <w:start w:val="1"/>
      <w:numFmt w:val="lowerLetter"/>
      <w:lvlText w:val="%1)"/>
      <w:lvlJc w:val="left"/>
      <w:pPr>
        <w:ind w:left="754" w:hanging="360"/>
      </w:pPr>
    </w:lvl>
    <w:lvl w:ilvl="1" w:tplc="1C090019" w:tentative="1">
      <w:start w:val="1"/>
      <w:numFmt w:val="lowerLetter"/>
      <w:lvlText w:val="%2."/>
      <w:lvlJc w:val="left"/>
      <w:pPr>
        <w:ind w:left="1474" w:hanging="360"/>
      </w:pPr>
    </w:lvl>
    <w:lvl w:ilvl="2" w:tplc="1C09001B" w:tentative="1">
      <w:start w:val="1"/>
      <w:numFmt w:val="lowerRoman"/>
      <w:lvlText w:val="%3."/>
      <w:lvlJc w:val="right"/>
      <w:pPr>
        <w:ind w:left="2194" w:hanging="180"/>
      </w:pPr>
    </w:lvl>
    <w:lvl w:ilvl="3" w:tplc="1C09000F" w:tentative="1">
      <w:start w:val="1"/>
      <w:numFmt w:val="decimal"/>
      <w:lvlText w:val="%4."/>
      <w:lvlJc w:val="left"/>
      <w:pPr>
        <w:ind w:left="2914" w:hanging="360"/>
      </w:pPr>
    </w:lvl>
    <w:lvl w:ilvl="4" w:tplc="1C090019" w:tentative="1">
      <w:start w:val="1"/>
      <w:numFmt w:val="lowerLetter"/>
      <w:lvlText w:val="%5."/>
      <w:lvlJc w:val="left"/>
      <w:pPr>
        <w:ind w:left="3634" w:hanging="360"/>
      </w:pPr>
    </w:lvl>
    <w:lvl w:ilvl="5" w:tplc="1C09001B" w:tentative="1">
      <w:start w:val="1"/>
      <w:numFmt w:val="lowerRoman"/>
      <w:lvlText w:val="%6."/>
      <w:lvlJc w:val="right"/>
      <w:pPr>
        <w:ind w:left="4354" w:hanging="180"/>
      </w:pPr>
    </w:lvl>
    <w:lvl w:ilvl="6" w:tplc="1C09000F" w:tentative="1">
      <w:start w:val="1"/>
      <w:numFmt w:val="decimal"/>
      <w:lvlText w:val="%7."/>
      <w:lvlJc w:val="left"/>
      <w:pPr>
        <w:ind w:left="5074" w:hanging="360"/>
      </w:pPr>
    </w:lvl>
    <w:lvl w:ilvl="7" w:tplc="1C090019" w:tentative="1">
      <w:start w:val="1"/>
      <w:numFmt w:val="lowerLetter"/>
      <w:lvlText w:val="%8."/>
      <w:lvlJc w:val="left"/>
      <w:pPr>
        <w:ind w:left="5794" w:hanging="360"/>
      </w:pPr>
    </w:lvl>
    <w:lvl w:ilvl="8" w:tplc="1C09001B" w:tentative="1">
      <w:start w:val="1"/>
      <w:numFmt w:val="lowerRoman"/>
      <w:lvlText w:val="%9."/>
      <w:lvlJc w:val="right"/>
      <w:pPr>
        <w:ind w:left="6514" w:hanging="180"/>
      </w:pPr>
    </w:lvl>
  </w:abstractNum>
  <w:abstractNum w:abstractNumId="21">
    <w:nsid w:val="5C020740"/>
    <w:multiLevelType w:val="hybridMultilevel"/>
    <w:tmpl w:val="9500A9DA"/>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2">
    <w:nsid w:val="62D67A71"/>
    <w:multiLevelType w:val="hybridMultilevel"/>
    <w:tmpl w:val="8F9CC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F77367"/>
    <w:multiLevelType w:val="hybridMultilevel"/>
    <w:tmpl w:val="954877A0"/>
    <w:lvl w:ilvl="0" w:tplc="1C09001B">
      <w:start w:val="1"/>
      <w:numFmt w:val="lowerRoman"/>
      <w:lvlText w:val="%1."/>
      <w:lvlJc w:val="right"/>
      <w:pPr>
        <w:ind w:left="720" w:hanging="360"/>
      </w:pPr>
      <w:rPr>
        <w:rFonts w:hint="default"/>
      </w:rPr>
    </w:lvl>
    <w:lvl w:ilvl="1" w:tplc="AAB6BD92">
      <w:start w:val="1"/>
      <w:numFmt w:val="decimal"/>
      <w:lvlText w:val="%2."/>
      <w:lvlJc w:val="left"/>
      <w:pPr>
        <w:ind w:left="1480" w:hanging="400"/>
      </w:pPr>
      <w:rPr>
        <w:rFont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66EC375D"/>
    <w:multiLevelType w:val="hybridMultilevel"/>
    <w:tmpl w:val="C61E14AA"/>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6B974EE0"/>
    <w:multiLevelType w:val="hybridMultilevel"/>
    <w:tmpl w:val="3B688726"/>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6FD63C78"/>
    <w:multiLevelType w:val="hybridMultilevel"/>
    <w:tmpl w:val="30AA37D4"/>
    <w:lvl w:ilvl="0" w:tplc="1C090005">
      <w:start w:val="1"/>
      <w:numFmt w:val="bullet"/>
      <w:lvlText w:val=""/>
      <w:lvlJc w:val="left"/>
      <w:pPr>
        <w:ind w:left="819" w:hanging="360"/>
      </w:pPr>
      <w:rPr>
        <w:rFonts w:ascii="Wingdings" w:hAnsi="Wingdings" w:hint="default"/>
      </w:rPr>
    </w:lvl>
    <w:lvl w:ilvl="1" w:tplc="1C090003" w:tentative="1">
      <w:start w:val="1"/>
      <w:numFmt w:val="bullet"/>
      <w:lvlText w:val="o"/>
      <w:lvlJc w:val="left"/>
      <w:pPr>
        <w:ind w:left="1539" w:hanging="360"/>
      </w:pPr>
      <w:rPr>
        <w:rFonts w:ascii="Courier New" w:hAnsi="Courier New" w:cs="Courier New" w:hint="default"/>
      </w:rPr>
    </w:lvl>
    <w:lvl w:ilvl="2" w:tplc="1C090005" w:tentative="1">
      <w:start w:val="1"/>
      <w:numFmt w:val="bullet"/>
      <w:lvlText w:val=""/>
      <w:lvlJc w:val="left"/>
      <w:pPr>
        <w:ind w:left="2259" w:hanging="360"/>
      </w:pPr>
      <w:rPr>
        <w:rFonts w:ascii="Wingdings" w:hAnsi="Wingdings" w:hint="default"/>
      </w:rPr>
    </w:lvl>
    <w:lvl w:ilvl="3" w:tplc="1C090001" w:tentative="1">
      <w:start w:val="1"/>
      <w:numFmt w:val="bullet"/>
      <w:lvlText w:val=""/>
      <w:lvlJc w:val="left"/>
      <w:pPr>
        <w:ind w:left="2979" w:hanging="360"/>
      </w:pPr>
      <w:rPr>
        <w:rFonts w:ascii="Symbol" w:hAnsi="Symbol" w:hint="default"/>
      </w:rPr>
    </w:lvl>
    <w:lvl w:ilvl="4" w:tplc="1C090003" w:tentative="1">
      <w:start w:val="1"/>
      <w:numFmt w:val="bullet"/>
      <w:lvlText w:val="o"/>
      <w:lvlJc w:val="left"/>
      <w:pPr>
        <w:ind w:left="3699" w:hanging="360"/>
      </w:pPr>
      <w:rPr>
        <w:rFonts w:ascii="Courier New" w:hAnsi="Courier New" w:cs="Courier New" w:hint="default"/>
      </w:rPr>
    </w:lvl>
    <w:lvl w:ilvl="5" w:tplc="1C090005" w:tentative="1">
      <w:start w:val="1"/>
      <w:numFmt w:val="bullet"/>
      <w:lvlText w:val=""/>
      <w:lvlJc w:val="left"/>
      <w:pPr>
        <w:ind w:left="4419" w:hanging="360"/>
      </w:pPr>
      <w:rPr>
        <w:rFonts w:ascii="Wingdings" w:hAnsi="Wingdings" w:hint="default"/>
      </w:rPr>
    </w:lvl>
    <w:lvl w:ilvl="6" w:tplc="1C090001" w:tentative="1">
      <w:start w:val="1"/>
      <w:numFmt w:val="bullet"/>
      <w:lvlText w:val=""/>
      <w:lvlJc w:val="left"/>
      <w:pPr>
        <w:ind w:left="5139" w:hanging="360"/>
      </w:pPr>
      <w:rPr>
        <w:rFonts w:ascii="Symbol" w:hAnsi="Symbol" w:hint="default"/>
      </w:rPr>
    </w:lvl>
    <w:lvl w:ilvl="7" w:tplc="1C090003" w:tentative="1">
      <w:start w:val="1"/>
      <w:numFmt w:val="bullet"/>
      <w:lvlText w:val="o"/>
      <w:lvlJc w:val="left"/>
      <w:pPr>
        <w:ind w:left="5859" w:hanging="360"/>
      </w:pPr>
      <w:rPr>
        <w:rFonts w:ascii="Courier New" w:hAnsi="Courier New" w:cs="Courier New" w:hint="default"/>
      </w:rPr>
    </w:lvl>
    <w:lvl w:ilvl="8" w:tplc="1C090005" w:tentative="1">
      <w:start w:val="1"/>
      <w:numFmt w:val="bullet"/>
      <w:lvlText w:val=""/>
      <w:lvlJc w:val="left"/>
      <w:pPr>
        <w:ind w:left="6579" w:hanging="360"/>
      </w:pPr>
      <w:rPr>
        <w:rFonts w:ascii="Wingdings" w:hAnsi="Wingdings" w:hint="default"/>
      </w:rPr>
    </w:lvl>
  </w:abstractNum>
  <w:abstractNum w:abstractNumId="27">
    <w:nsid w:val="716D2607"/>
    <w:multiLevelType w:val="hybridMultilevel"/>
    <w:tmpl w:val="32A8E4B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nsid w:val="754A5DF7"/>
    <w:multiLevelType w:val="hybridMultilevel"/>
    <w:tmpl w:val="D51AD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135348"/>
    <w:multiLevelType w:val="hybridMultilevel"/>
    <w:tmpl w:val="B72E074C"/>
    <w:lvl w:ilvl="0" w:tplc="1C090017">
      <w:start w:val="1"/>
      <w:numFmt w:val="lowerLetter"/>
      <w:lvlText w:val="%1)"/>
      <w:lvlJc w:val="left"/>
      <w:pPr>
        <w:ind w:left="754" w:hanging="360"/>
      </w:pPr>
    </w:lvl>
    <w:lvl w:ilvl="1" w:tplc="1C090019" w:tentative="1">
      <w:start w:val="1"/>
      <w:numFmt w:val="lowerLetter"/>
      <w:lvlText w:val="%2."/>
      <w:lvlJc w:val="left"/>
      <w:pPr>
        <w:ind w:left="1474" w:hanging="360"/>
      </w:pPr>
    </w:lvl>
    <w:lvl w:ilvl="2" w:tplc="1C09001B" w:tentative="1">
      <w:start w:val="1"/>
      <w:numFmt w:val="lowerRoman"/>
      <w:lvlText w:val="%3."/>
      <w:lvlJc w:val="right"/>
      <w:pPr>
        <w:ind w:left="2194" w:hanging="180"/>
      </w:pPr>
    </w:lvl>
    <w:lvl w:ilvl="3" w:tplc="1C09000F" w:tentative="1">
      <w:start w:val="1"/>
      <w:numFmt w:val="decimal"/>
      <w:lvlText w:val="%4."/>
      <w:lvlJc w:val="left"/>
      <w:pPr>
        <w:ind w:left="2914" w:hanging="360"/>
      </w:pPr>
    </w:lvl>
    <w:lvl w:ilvl="4" w:tplc="1C090019" w:tentative="1">
      <w:start w:val="1"/>
      <w:numFmt w:val="lowerLetter"/>
      <w:lvlText w:val="%5."/>
      <w:lvlJc w:val="left"/>
      <w:pPr>
        <w:ind w:left="3634" w:hanging="360"/>
      </w:pPr>
    </w:lvl>
    <w:lvl w:ilvl="5" w:tplc="1C09001B" w:tentative="1">
      <w:start w:val="1"/>
      <w:numFmt w:val="lowerRoman"/>
      <w:lvlText w:val="%6."/>
      <w:lvlJc w:val="right"/>
      <w:pPr>
        <w:ind w:left="4354" w:hanging="180"/>
      </w:pPr>
    </w:lvl>
    <w:lvl w:ilvl="6" w:tplc="1C09000F" w:tentative="1">
      <w:start w:val="1"/>
      <w:numFmt w:val="decimal"/>
      <w:lvlText w:val="%7."/>
      <w:lvlJc w:val="left"/>
      <w:pPr>
        <w:ind w:left="5074" w:hanging="360"/>
      </w:pPr>
    </w:lvl>
    <w:lvl w:ilvl="7" w:tplc="1C090019" w:tentative="1">
      <w:start w:val="1"/>
      <w:numFmt w:val="lowerLetter"/>
      <w:lvlText w:val="%8."/>
      <w:lvlJc w:val="left"/>
      <w:pPr>
        <w:ind w:left="5794" w:hanging="360"/>
      </w:pPr>
    </w:lvl>
    <w:lvl w:ilvl="8" w:tplc="1C09001B" w:tentative="1">
      <w:start w:val="1"/>
      <w:numFmt w:val="lowerRoman"/>
      <w:lvlText w:val="%9."/>
      <w:lvlJc w:val="right"/>
      <w:pPr>
        <w:ind w:left="6514" w:hanging="180"/>
      </w:pPr>
    </w:lvl>
  </w:abstractNum>
  <w:abstractNum w:abstractNumId="30">
    <w:nsid w:val="7BE975E1"/>
    <w:multiLevelType w:val="hybridMultilevel"/>
    <w:tmpl w:val="B72E074C"/>
    <w:lvl w:ilvl="0" w:tplc="1C090017">
      <w:start w:val="1"/>
      <w:numFmt w:val="lowerLetter"/>
      <w:lvlText w:val="%1)"/>
      <w:lvlJc w:val="left"/>
      <w:pPr>
        <w:ind w:left="754" w:hanging="360"/>
      </w:pPr>
    </w:lvl>
    <w:lvl w:ilvl="1" w:tplc="1C090019" w:tentative="1">
      <w:start w:val="1"/>
      <w:numFmt w:val="lowerLetter"/>
      <w:lvlText w:val="%2."/>
      <w:lvlJc w:val="left"/>
      <w:pPr>
        <w:ind w:left="1474" w:hanging="360"/>
      </w:pPr>
    </w:lvl>
    <w:lvl w:ilvl="2" w:tplc="1C09001B" w:tentative="1">
      <w:start w:val="1"/>
      <w:numFmt w:val="lowerRoman"/>
      <w:lvlText w:val="%3."/>
      <w:lvlJc w:val="right"/>
      <w:pPr>
        <w:ind w:left="2194" w:hanging="180"/>
      </w:pPr>
    </w:lvl>
    <w:lvl w:ilvl="3" w:tplc="1C09000F" w:tentative="1">
      <w:start w:val="1"/>
      <w:numFmt w:val="decimal"/>
      <w:lvlText w:val="%4."/>
      <w:lvlJc w:val="left"/>
      <w:pPr>
        <w:ind w:left="2914" w:hanging="360"/>
      </w:pPr>
    </w:lvl>
    <w:lvl w:ilvl="4" w:tplc="1C090019" w:tentative="1">
      <w:start w:val="1"/>
      <w:numFmt w:val="lowerLetter"/>
      <w:lvlText w:val="%5."/>
      <w:lvlJc w:val="left"/>
      <w:pPr>
        <w:ind w:left="3634" w:hanging="360"/>
      </w:pPr>
    </w:lvl>
    <w:lvl w:ilvl="5" w:tplc="1C09001B" w:tentative="1">
      <w:start w:val="1"/>
      <w:numFmt w:val="lowerRoman"/>
      <w:lvlText w:val="%6."/>
      <w:lvlJc w:val="right"/>
      <w:pPr>
        <w:ind w:left="4354" w:hanging="180"/>
      </w:pPr>
    </w:lvl>
    <w:lvl w:ilvl="6" w:tplc="1C09000F" w:tentative="1">
      <w:start w:val="1"/>
      <w:numFmt w:val="decimal"/>
      <w:lvlText w:val="%7."/>
      <w:lvlJc w:val="left"/>
      <w:pPr>
        <w:ind w:left="5074" w:hanging="360"/>
      </w:pPr>
    </w:lvl>
    <w:lvl w:ilvl="7" w:tplc="1C090019" w:tentative="1">
      <w:start w:val="1"/>
      <w:numFmt w:val="lowerLetter"/>
      <w:lvlText w:val="%8."/>
      <w:lvlJc w:val="left"/>
      <w:pPr>
        <w:ind w:left="5794" w:hanging="360"/>
      </w:pPr>
    </w:lvl>
    <w:lvl w:ilvl="8" w:tplc="1C09001B" w:tentative="1">
      <w:start w:val="1"/>
      <w:numFmt w:val="lowerRoman"/>
      <w:lvlText w:val="%9."/>
      <w:lvlJc w:val="right"/>
      <w:pPr>
        <w:ind w:left="6514" w:hanging="180"/>
      </w:pPr>
    </w:lvl>
  </w:abstractNum>
  <w:num w:numId="1">
    <w:abstractNumId w:val="6"/>
  </w:num>
  <w:num w:numId="2">
    <w:abstractNumId w:val="19"/>
  </w:num>
  <w:num w:numId="3">
    <w:abstractNumId w:val="27"/>
  </w:num>
  <w:num w:numId="4">
    <w:abstractNumId w:val="21"/>
  </w:num>
  <w:num w:numId="5">
    <w:abstractNumId w:val="24"/>
  </w:num>
  <w:num w:numId="6">
    <w:abstractNumId w:val="5"/>
  </w:num>
  <w:num w:numId="7">
    <w:abstractNumId w:val="0"/>
  </w:num>
  <w:num w:numId="8">
    <w:abstractNumId w:val="30"/>
  </w:num>
  <w:num w:numId="9">
    <w:abstractNumId w:val="29"/>
  </w:num>
  <w:num w:numId="10">
    <w:abstractNumId w:val="23"/>
  </w:num>
  <w:num w:numId="11">
    <w:abstractNumId w:val="20"/>
  </w:num>
  <w:num w:numId="12">
    <w:abstractNumId w:val="3"/>
  </w:num>
  <w:num w:numId="13">
    <w:abstractNumId w:val="15"/>
  </w:num>
  <w:num w:numId="14">
    <w:abstractNumId w:val="11"/>
  </w:num>
  <w:num w:numId="15">
    <w:abstractNumId w:val="7"/>
  </w:num>
  <w:num w:numId="16">
    <w:abstractNumId w:val="12"/>
  </w:num>
  <w:num w:numId="17">
    <w:abstractNumId w:val="25"/>
  </w:num>
  <w:num w:numId="18">
    <w:abstractNumId w:val="26"/>
  </w:num>
  <w:num w:numId="19">
    <w:abstractNumId w:val="8"/>
  </w:num>
  <w:num w:numId="20">
    <w:abstractNumId w:val="18"/>
  </w:num>
  <w:num w:numId="21">
    <w:abstractNumId w:val="4"/>
  </w:num>
  <w:num w:numId="22">
    <w:abstractNumId w:val="13"/>
  </w:num>
  <w:num w:numId="23">
    <w:abstractNumId w:val="1"/>
  </w:num>
  <w:num w:numId="24">
    <w:abstractNumId w:val="9"/>
  </w:num>
  <w:num w:numId="25">
    <w:abstractNumId w:val="2"/>
  </w:num>
  <w:num w:numId="26">
    <w:abstractNumId w:val="17"/>
  </w:num>
  <w:num w:numId="27">
    <w:abstractNumId w:val="22"/>
  </w:num>
  <w:num w:numId="28">
    <w:abstractNumId w:val="10"/>
  </w:num>
  <w:num w:numId="29">
    <w:abstractNumId w:val="14"/>
  </w:num>
  <w:num w:numId="30">
    <w:abstractNumId w:val="16"/>
  </w:num>
  <w:num w:numId="31">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31D"/>
    <w:rsid w:val="00004865"/>
    <w:rsid w:val="00005D54"/>
    <w:rsid w:val="00006A45"/>
    <w:rsid w:val="00007C40"/>
    <w:rsid w:val="000108B4"/>
    <w:rsid w:val="00012DCA"/>
    <w:rsid w:val="000263DD"/>
    <w:rsid w:val="0003491F"/>
    <w:rsid w:val="00043808"/>
    <w:rsid w:val="00043F60"/>
    <w:rsid w:val="00045A70"/>
    <w:rsid w:val="000506EB"/>
    <w:rsid w:val="00056F24"/>
    <w:rsid w:val="000808AF"/>
    <w:rsid w:val="0008109F"/>
    <w:rsid w:val="00093D49"/>
    <w:rsid w:val="000A0CF7"/>
    <w:rsid w:val="000A1BB7"/>
    <w:rsid w:val="000A2182"/>
    <w:rsid w:val="000A3A0B"/>
    <w:rsid w:val="000C0A09"/>
    <w:rsid w:val="000C580B"/>
    <w:rsid w:val="000C5BB0"/>
    <w:rsid w:val="000E0F6E"/>
    <w:rsid w:val="000E31F8"/>
    <w:rsid w:val="000F0235"/>
    <w:rsid w:val="000F6063"/>
    <w:rsid w:val="00110CD3"/>
    <w:rsid w:val="00111AD3"/>
    <w:rsid w:val="001209F0"/>
    <w:rsid w:val="001246DB"/>
    <w:rsid w:val="00125E2B"/>
    <w:rsid w:val="00130036"/>
    <w:rsid w:val="00143C3F"/>
    <w:rsid w:val="00145F98"/>
    <w:rsid w:val="00146A0C"/>
    <w:rsid w:val="00146AEE"/>
    <w:rsid w:val="0015101D"/>
    <w:rsid w:val="00170E74"/>
    <w:rsid w:val="00181EBC"/>
    <w:rsid w:val="00185E9E"/>
    <w:rsid w:val="0019058C"/>
    <w:rsid w:val="0019700F"/>
    <w:rsid w:val="001A43F7"/>
    <w:rsid w:val="001A5B92"/>
    <w:rsid w:val="001E35C3"/>
    <w:rsid w:val="001E5040"/>
    <w:rsid w:val="001F3ED5"/>
    <w:rsid w:val="001F41FA"/>
    <w:rsid w:val="00203986"/>
    <w:rsid w:val="00204F33"/>
    <w:rsid w:val="00210EAC"/>
    <w:rsid w:val="00215FAB"/>
    <w:rsid w:val="00220986"/>
    <w:rsid w:val="002328CF"/>
    <w:rsid w:val="00233229"/>
    <w:rsid w:val="0024136A"/>
    <w:rsid w:val="002438F6"/>
    <w:rsid w:val="002476A0"/>
    <w:rsid w:val="002566F5"/>
    <w:rsid w:val="00274AD7"/>
    <w:rsid w:val="002761AF"/>
    <w:rsid w:val="002818DC"/>
    <w:rsid w:val="00286F0D"/>
    <w:rsid w:val="002B1B91"/>
    <w:rsid w:val="002C1602"/>
    <w:rsid w:val="002D0F3F"/>
    <w:rsid w:val="002E2107"/>
    <w:rsid w:val="002E22F9"/>
    <w:rsid w:val="002F410A"/>
    <w:rsid w:val="003005AF"/>
    <w:rsid w:val="00303FFE"/>
    <w:rsid w:val="00305D63"/>
    <w:rsid w:val="0030626E"/>
    <w:rsid w:val="00324F71"/>
    <w:rsid w:val="00334F59"/>
    <w:rsid w:val="003439C4"/>
    <w:rsid w:val="003445F8"/>
    <w:rsid w:val="003507AE"/>
    <w:rsid w:val="00354D00"/>
    <w:rsid w:val="00360AF0"/>
    <w:rsid w:val="00367628"/>
    <w:rsid w:val="00371911"/>
    <w:rsid w:val="0037437E"/>
    <w:rsid w:val="00396FB5"/>
    <w:rsid w:val="003A146B"/>
    <w:rsid w:val="003A55C8"/>
    <w:rsid w:val="003B2A27"/>
    <w:rsid w:val="003C0ADB"/>
    <w:rsid w:val="003D6FA1"/>
    <w:rsid w:val="003E701D"/>
    <w:rsid w:val="003F0533"/>
    <w:rsid w:val="003F1D52"/>
    <w:rsid w:val="003F1F75"/>
    <w:rsid w:val="003F3FAC"/>
    <w:rsid w:val="003F7291"/>
    <w:rsid w:val="00416F98"/>
    <w:rsid w:val="00417BD9"/>
    <w:rsid w:val="00427EBE"/>
    <w:rsid w:val="00430A9A"/>
    <w:rsid w:val="00437483"/>
    <w:rsid w:val="00437AA8"/>
    <w:rsid w:val="00443EC8"/>
    <w:rsid w:val="00445198"/>
    <w:rsid w:val="00446E6E"/>
    <w:rsid w:val="004470F3"/>
    <w:rsid w:val="00450604"/>
    <w:rsid w:val="00451531"/>
    <w:rsid w:val="00457046"/>
    <w:rsid w:val="004576CE"/>
    <w:rsid w:val="00460159"/>
    <w:rsid w:val="004609E4"/>
    <w:rsid w:val="00462CFD"/>
    <w:rsid w:val="00463936"/>
    <w:rsid w:val="004642F3"/>
    <w:rsid w:val="004673A2"/>
    <w:rsid w:val="0046778B"/>
    <w:rsid w:val="004715ED"/>
    <w:rsid w:val="00476FAE"/>
    <w:rsid w:val="00477274"/>
    <w:rsid w:val="004774B0"/>
    <w:rsid w:val="00480112"/>
    <w:rsid w:val="004B0206"/>
    <w:rsid w:val="004B67E0"/>
    <w:rsid w:val="004D4F14"/>
    <w:rsid w:val="004E568B"/>
    <w:rsid w:val="004E6D74"/>
    <w:rsid w:val="004F162D"/>
    <w:rsid w:val="004F1707"/>
    <w:rsid w:val="004F3993"/>
    <w:rsid w:val="00505A88"/>
    <w:rsid w:val="00513119"/>
    <w:rsid w:val="00513933"/>
    <w:rsid w:val="00521899"/>
    <w:rsid w:val="00532DB8"/>
    <w:rsid w:val="0053773F"/>
    <w:rsid w:val="00541B74"/>
    <w:rsid w:val="00550565"/>
    <w:rsid w:val="00552460"/>
    <w:rsid w:val="005613FC"/>
    <w:rsid w:val="0056400E"/>
    <w:rsid w:val="00570B9D"/>
    <w:rsid w:val="00573673"/>
    <w:rsid w:val="0059638F"/>
    <w:rsid w:val="005B275E"/>
    <w:rsid w:val="005B3669"/>
    <w:rsid w:val="005C0D08"/>
    <w:rsid w:val="005C33D9"/>
    <w:rsid w:val="005C692F"/>
    <w:rsid w:val="005D31D2"/>
    <w:rsid w:val="005D3D0B"/>
    <w:rsid w:val="005D7B59"/>
    <w:rsid w:val="005E4860"/>
    <w:rsid w:val="005F0B98"/>
    <w:rsid w:val="005F2BF8"/>
    <w:rsid w:val="00600BC0"/>
    <w:rsid w:val="006038D7"/>
    <w:rsid w:val="00614E84"/>
    <w:rsid w:val="006273E4"/>
    <w:rsid w:val="006343ED"/>
    <w:rsid w:val="00637D31"/>
    <w:rsid w:val="0064057E"/>
    <w:rsid w:val="00650D93"/>
    <w:rsid w:val="00657178"/>
    <w:rsid w:val="00661595"/>
    <w:rsid w:val="0066664A"/>
    <w:rsid w:val="0066796F"/>
    <w:rsid w:val="00673467"/>
    <w:rsid w:val="00680BB7"/>
    <w:rsid w:val="00682308"/>
    <w:rsid w:val="00683875"/>
    <w:rsid w:val="006A31FF"/>
    <w:rsid w:val="006B2AE0"/>
    <w:rsid w:val="006C6B9E"/>
    <w:rsid w:val="006D331D"/>
    <w:rsid w:val="006D3BDB"/>
    <w:rsid w:val="006D70F9"/>
    <w:rsid w:val="006E0FD1"/>
    <w:rsid w:val="006E3AE0"/>
    <w:rsid w:val="006E4AD9"/>
    <w:rsid w:val="006E7AB5"/>
    <w:rsid w:val="006F2DEF"/>
    <w:rsid w:val="006F30DC"/>
    <w:rsid w:val="006F43AC"/>
    <w:rsid w:val="0070462C"/>
    <w:rsid w:val="00711677"/>
    <w:rsid w:val="007257D0"/>
    <w:rsid w:val="007326AB"/>
    <w:rsid w:val="007408FF"/>
    <w:rsid w:val="00744E7F"/>
    <w:rsid w:val="00745BEC"/>
    <w:rsid w:val="007478D8"/>
    <w:rsid w:val="007676E0"/>
    <w:rsid w:val="00793D67"/>
    <w:rsid w:val="007A1AE3"/>
    <w:rsid w:val="007B5200"/>
    <w:rsid w:val="007C67E1"/>
    <w:rsid w:val="00805431"/>
    <w:rsid w:val="00806E24"/>
    <w:rsid w:val="0081153C"/>
    <w:rsid w:val="0081160A"/>
    <w:rsid w:val="008214C7"/>
    <w:rsid w:val="0083147A"/>
    <w:rsid w:val="00831F54"/>
    <w:rsid w:val="00837D72"/>
    <w:rsid w:val="00846762"/>
    <w:rsid w:val="00850A3D"/>
    <w:rsid w:val="0085706B"/>
    <w:rsid w:val="0087578C"/>
    <w:rsid w:val="00886814"/>
    <w:rsid w:val="008973A1"/>
    <w:rsid w:val="008A7EB8"/>
    <w:rsid w:val="008B5C99"/>
    <w:rsid w:val="008B7E56"/>
    <w:rsid w:val="008C3D0B"/>
    <w:rsid w:val="008C77CB"/>
    <w:rsid w:val="008E4870"/>
    <w:rsid w:val="008E7ADE"/>
    <w:rsid w:val="0092660F"/>
    <w:rsid w:val="00944887"/>
    <w:rsid w:val="00951EC7"/>
    <w:rsid w:val="009600C4"/>
    <w:rsid w:val="00962B0B"/>
    <w:rsid w:val="0096602A"/>
    <w:rsid w:val="00984643"/>
    <w:rsid w:val="00984A21"/>
    <w:rsid w:val="009A13F9"/>
    <w:rsid w:val="009B291F"/>
    <w:rsid w:val="009B2F8C"/>
    <w:rsid w:val="009D0C31"/>
    <w:rsid w:val="009D454F"/>
    <w:rsid w:val="009F0EB8"/>
    <w:rsid w:val="009F715C"/>
    <w:rsid w:val="00A05953"/>
    <w:rsid w:val="00A230DA"/>
    <w:rsid w:val="00A23CDA"/>
    <w:rsid w:val="00A34789"/>
    <w:rsid w:val="00A42943"/>
    <w:rsid w:val="00A42E77"/>
    <w:rsid w:val="00A434F3"/>
    <w:rsid w:val="00A44238"/>
    <w:rsid w:val="00A54131"/>
    <w:rsid w:val="00A5468C"/>
    <w:rsid w:val="00A75398"/>
    <w:rsid w:val="00A80313"/>
    <w:rsid w:val="00AA2310"/>
    <w:rsid w:val="00AA5B06"/>
    <w:rsid w:val="00AB26CD"/>
    <w:rsid w:val="00AB47CE"/>
    <w:rsid w:val="00AC0FB2"/>
    <w:rsid w:val="00AC2C18"/>
    <w:rsid w:val="00AC2DEE"/>
    <w:rsid w:val="00AC6896"/>
    <w:rsid w:val="00AD196C"/>
    <w:rsid w:val="00AD3907"/>
    <w:rsid w:val="00AE2512"/>
    <w:rsid w:val="00AE7879"/>
    <w:rsid w:val="00AF42A4"/>
    <w:rsid w:val="00B01E8F"/>
    <w:rsid w:val="00B03209"/>
    <w:rsid w:val="00B15021"/>
    <w:rsid w:val="00B163B9"/>
    <w:rsid w:val="00B16E18"/>
    <w:rsid w:val="00B36A79"/>
    <w:rsid w:val="00B452D5"/>
    <w:rsid w:val="00B54D99"/>
    <w:rsid w:val="00B56A52"/>
    <w:rsid w:val="00B5787E"/>
    <w:rsid w:val="00B64554"/>
    <w:rsid w:val="00B64703"/>
    <w:rsid w:val="00B736AC"/>
    <w:rsid w:val="00B91563"/>
    <w:rsid w:val="00BC043B"/>
    <w:rsid w:val="00BE2AF1"/>
    <w:rsid w:val="00BE3E19"/>
    <w:rsid w:val="00BF608A"/>
    <w:rsid w:val="00C103D9"/>
    <w:rsid w:val="00C145D7"/>
    <w:rsid w:val="00C2129B"/>
    <w:rsid w:val="00C2454A"/>
    <w:rsid w:val="00C37104"/>
    <w:rsid w:val="00C4230C"/>
    <w:rsid w:val="00C57F12"/>
    <w:rsid w:val="00C6371A"/>
    <w:rsid w:val="00C707BF"/>
    <w:rsid w:val="00C71BFD"/>
    <w:rsid w:val="00C767EF"/>
    <w:rsid w:val="00C96AF4"/>
    <w:rsid w:val="00CA35AC"/>
    <w:rsid w:val="00CB167F"/>
    <w:rsid w:val="00CB49E6"/>
    <w:rsid w:val="00CD65F9"/>
    <w:rsid w:val="00CF3EC5"/>
    <w:rsid w:val="00CF6282"/>
    <w:rsid w:val="00CF728C"/>
    <w:rsid w:val="00D11494"/>
    <w:rsid w:val="00D11F67"/>
    <w:rsid w:val="00D134DF"/>
    <w:rsid w:val="00D44D5B"/>
    <w:rsid w:val="00D5164A"/>
    <w:rsid w:val="00D5792C"/>
    <w:rsid w:val="00D85BBA"/>
    <w:rsid w:val="00D91573"/>
    <w:rsid w:val="00D91B26"/>
    <w:rsid w:val="00D9517F"/>
    <w:rsid w:val="00D9536F"/>
    <w:rsid w:val="00DA0B15"/>
    <w:rsid w:val="00DB6494"/>
    <w:rsid w:val="00DC72D5"/>
    <w:rsid w:val="00DC7843"/>
    <w:rsid w:val="00DD20A1"/>
    <w:rsid w:val="00DD48D9"/>
    <w:rsid w:val="00DE21EB"/>
    <w:rsid w:val="00DE34CB"/>
    <w:rsid w:val="00DF075B"/>
    <w:rsid w:val="00DF60D3"/>
    <w:rsid w:val="00E00CD2"/>
    <w:rsid w:val="00E0200F"/>
    <w:rsid w:val="00E10B64"/>
    <w:rsid w:val="00E12FDA"/>
    <w:rsid w:val="00E3156D"/>
    <w:rsid w:val="00E52B2F"/>
    <w:rsid w:val="00E53063"/>
    <w:rsid w:val="00E548E1"/>
    <w:rsid w:val="00E55F8F"/>
    <w:rsid w:val="00E62414"/>
    <w:rsid w:val="00E637B5"/>
    <w:rsid w:val="00E736D7"/>
    <w:rsid w:val="00E75D87"/>
    <w:rsid w:val="00E767E6"/>
    <w:rsid w:val="00E91DDF"/>
    <w:rsid w:val="00E95798"/>
    <w:rsid w:val="00E967D8"/>
    <w:rsid w:val="00E9699C"/>
    <w:rsid w:val="00EA2373"/>
    <w:rsid w:val="00EA37AA"/>
    <w:rsid w:val="00EB51FF"/>
    <w:rsid w:val="00EB6518"/>
    <w:rsid w:val="00EC1789"/>
    <w:rsid w:val="00EC323A"/>
    <w:rsid w:val="00ED2F6A"/>
    <w:rsid w:val="00ED3010"/>
    <w:rsid w:val="00EE412D"/>
    <w:rsid w:val="00EF67BD"/>
    <w:rsid w:val="00F11009"/>
    <w:rsid w:val="00F11D0E"/>
    <w:rsid w:val="00F16A2A"/>
    <w:rsid w:val="00F275F8"/>
    <w:rsid w:val="00F27931"/>
    <w:rsid w:val="00F5068B"/>
    <w:rsid w:val="00F5085A"/>
    <w:rsid w:val="00F56623"/>
    <w:rsid w:val="00F5727B"/>
    <w:rsid w:val="00F57C27"/>
    <w:rsid w:val="00F658E3"/>
    <w:rsid w:val="00F7708B"/>
    <w:rsid w:val="00F8178B"/>
    <w:rsid w:val="00F859A4"/>
    <w:rsid w:val="00F9153B"/>
    <w:rsid w:val="00F96E45"/>
    <w:rsid w:val="00F973EF"/>
    <w:rsid w:val="00FA1C30"/>
    <w:rsid w:val="00FA389B"/>
    <w:rsid w:val="00FA7E9D"/>
    <w:rsid w:val="00FB0292"/>
    <w:rsid w:val="00FB6AD5"/>
    <w:rsid w:val="00FC140C"/>
    <w:rsid w:val="00FC618C"/>
    <w:rsid w:val="00FD12ED"/>
    <w:rsid w:val="00FE0113"/>
    <w:rsid w:val="00FE4519"/>
    <w:rsid w:val="00FE5584"/>
    <w:rsid w:val="00FE5EDE"/>
    <w:rsid w:val="00FE6D14"/>
    <w:rsid w:val="00FF357A"/>
    <w:rsid w:val="00FF5E3A"/>
    <w:rsid w:val="00FF696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FCCA61"/>
  <w15:docId w15:val="{B9736595-469B-4311-9A30-0CEA6BC3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D331D"/>
    <w:pPr>
      <w:spacing w:after="0" w:line="260" w:lineRule="atLeas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331D"/>
    <w:pPr>
      <w:ind w:left="720"/>
      <w:contextualSpacing/>
    </w:pPr>
  </w:style>
  <w:style w:type="paragraph" w:styleId="Header">
    <w:name w:val="header"/>
    <w:basedOn w:val="Normal"/>
    <w:link w:val="HeaderChar"/>
    <w:uiPriority w:val="99"/>
    <w:unhideWhenUsed/>
    <w:rsid w:val="001300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036"/>
  </w:style>
  <w:style w:type="paragraph" w:styleId="Footer">
    <w:name w:val="footer"/>
    <w:basedOn w:val="Normal"/>
    <w:link w:val="FooterChar"/>
    <w:uiPriority w:val="99"/>
    <w:unhideWhenUsed/>
    <w:rsid w:val="001300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036"/>
  </w:style>
  <w:style w:type="paragraph" w:styleId="FootnoteText">
    <w:name w:val="footnote text"/>
    <w:basedOn w:val="Normal"/>
    <w:link w:val="FootnoteTextChar"/>
    <w:uiPriority w:val="99"/>
    <w:semiHidden/>
    <w:unhideWhenUsed/>
    <w:rsid w:val="00634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43ED"/>
    <w:rPr>
      <w:sz w:val="20"/>
      <w:szCs w:val="20"/>
    </w:rPr>
  </w:style>
  <w:style w:type="character" w:styleId="FootnoteReference">
    <w:name w:val="footnote reference"/>
    <w:basedOn w:val="DefaultParagraphFont"/>
    <w:uiPriority w:val="99"/>
    <w:semiHidden/>
    <w:unhideWhenUsed/>
    <w:rsid w:val="006343ED"/>
    <w:rPr>
      <w:vertAlign w:val="superscript"/>
    </w:rPr>
  </w:style>
  <w:style w:type="paragraph" w:styleId="BalloonText">
    <w:name w:val="Balloon Text"/>
    <w:basedOn w:val="Normal"/>
    <w:link w:val="BalloonTextChar"/>
    <w:uiPriority w:val="99"/>
    <w:semiHidden/>
    <w:unhideWhenUsed/>
    <w:rsid w:val="004B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7E0"/>
    <w:rPr>
      <w:rFonts w:ascii="Tahoma" w:hAnsi="Tahoma" w:cs="Tahoma"/>
      <w:sz w:val="16"/>
      <w:szCs w:val="16"/>
    </w:rPr>
  </w:style>
  <w:style w:type="paragraph" w:customStyle="1" w:styleId="Default">
    <w:name w:val="Default"/>
    <w:rsid w:val="003F1F75"/>
    <w:pPr>
      <w:autoSpaceDE w:val="0"/>
      <w:autoSpaceDN w:val="0"/>
      <w:adjustRightInd w:val="0"/>
      <w:spacing w:after="0" w:line="240" w:lineRule="auto"/>
    </w:pPr>
    <w:rPr>
      <w:rFonts w:ascii="Calibri" w:hAnsi="Calibri" w:cs="Calibri"/>
      <w:color w:val="000000"/>
      <w:sz w:val="24"/>
      <w:szCs w:val="24"/>
    </w:rPr>
  </w:style>
  <w:style w:type="paragraph" w:customStyle="1" w:styleId="Pa3">
    <w:name w:val="Pa3"/>
    <w:basedOn w:val="Default"/>
    <w:next w:val="Default"/>
    <w:uiPriority w:val="99"/>
    <w:rsid w:val="004F3993"/>
    <w:pPr>
      <w:spacing w:line="231" w:lineRule="atLeast"/>
    </w:pPr>
    <w:rPr>
      <w:rFonts w:ascii="Franklin Gothic Book" w:hAnsi="Franklin Gothic Book" w:cstheme="minorBidi"/>
      <w:color w:val="auto"/>
      <w:lang w:val="en-US"/>
    </w:rPr>
  </w:style>
  <w:style w:type="character" w:customStyle="1" w:styleId="A9">
    <w:name w:val="A9"/>
    <w:uiPriority w:val="99"/>
    <w:rsid w:val="004F3993"/>
    <w:rPr>
      <w:rFonts w:cs="Franklin Gothic Book"/>
      <w:color w:val="000000"/>
      <w:sz w:val="18"/>
      <w:szCs w:val="18"/>
    </w:rPr>
  </w:style>
  <w:style w:type="paragraph" w:customStyle="1" w:styleId="Pa0">
    <w:name w:val="Pa0"/>
    <w:basedOn w:val="Default"/>
    <w:next w:val="Default"/>
    <w:uiPriority w:val="99"/>
    <w:rsid w:val="003F1D52"/>
    <w:pPr>
      <w:spacing w:line="241" w:lineRule="atLeast"/>
    </w:pPr>
    <w:rPr>
      <w:rFonts w:ascii="Minion Pro" w:hAnsi="Minion Pro" w:cstheme="minorBidi"/>
      <w:color w:val="auto"/>
      <w:lang w:val="en-US"/>
    </w:rPr>
  </w:style>
  <w:style w:type="character" w:customStyle="1" w:styleId="A0">
    <w:name w:val="A0"/>
    <w:uiPriority w:val="99"/>
    <w:rsid w:val="003F1D52"/>
    <w:rPr>
      <w:rFonts w:ascii="Franklin Gothic Medium" w:hAnsi="Franklin Gothic Medium" w:cs="Franklin Gothic Medium"/>
      <w:color w:val="000000"/>
      <w:sz w:val="19"/>
      <w:szCs w:val="19"/>
    </w:rPr>
  </w:style>
  <w:style w:type="character" w:customStyle="1" w:styleId="A16">
    <w:name w:val="A16"/>
    <w:uiPriority w:val="99"/>
    <w:rsid w:val="003F1D52"/>
    <w:rPr>
      <w:rFonts w:cs="Minion Pro"/>
      <w:color w:val="000000"/>
      <w:sz w:val="23"/>
      <w:szCs w:val="23"/>
    </w:rPr>
  </w:style>
  <w:style w:type="character" w:styleId="Hyperlink">
    <w:name w:val="Hyperlink"/>
    <w:basedOn w:val="DefaultParagraphFont"/>
    <w:uiPriority w:val="99"/>
    <w:unhideWhenUsed/>
    <w:rsid w:val="00A434F3"/>
    <w:rPr>
      <w:color w:val="0000FF" w:themeColor="hyperlink"/>
      <w:u w:val="single"/>
    </w:rPr>
  </w:style>
  <w:style w:type="character" w:styleId="CommentReference">
    <w:name w:val="annotation reference"/>
    <w:basedOn w:val="DefaultParagraphFont"/>
    <w:uiPriority w:val="99"/>
    <w:semiHidden/>
    <w:unhideWhenUsed/>
    <w:rsid w:val="009A13F9"/>
    <w:rPr>
      <w:sz w:val="16"/>
      <w:szCs w:val="16"/>
    </w:rPr>
  </w:style>
  <w:style w:type="paragraph" w:styleId="CommentText">
    <w:name w:val="annotation text"/>
    <w:basedOn w:val="Normal"/>
    <w:link w:val="CommentTextChar"/>
    <w:uiPriority w:val="99"/>
    <w:semiHidden/>
    <w:unhideWhenUsed/>
    <w:rsid w:val="007676E0"/>
    <w:pPr>
      <w:spacing w:line="240" w:lineRule="auto"/>
    </w:pPr>
    <w:rPr>
      <w:sz w:val="20"/>
      <w:szCs w:val="20"/>
    </w:rPr>
  </w:style>
  <w:style w:type="character" w:customStyle="1" w:styleId="CommentTextChar">
    <w:name w:val="Comment Text Char"/>
    <w:basedOn w:val="DefaultParagraphFont"/>
    <w:link w:val="CommentText"/>
    <w:uiPriority w:val="99"/>
    <w:semiHidden/>
    <w:rsid w:val="007676E0"/>
    <w:rPr>
      <w:sz w:val="20"/>
      <w:szCs w:val="20"/>
    </w:rPr>
  </w:style>
  <w:style w:type="paragraph" w:styleId="CommentSubject">
    <w:name w:val="annotation subject"/>
    <w:basedOn w:val="CommentText"/>
    <w:next w:val="CommentText"/>
    <w:link w:val="CommentSubjectChar"/>
    <w:uiPriority w:val="99"/>
    <w:semiHidden/>
    <w:unhideWhenUsed/>
    <w:rsid w:val="007676E0"/>
    <w:rPr>
      <w:b/>
      <w:bCs/>
    </w:rPr>
  </w:style>
  <w:style w:type="character" w:customStyle="1" w:styleId="CommentSubjectChar">
    <w:name w:val="Comment Subject Char"/>
    <w:basedOn w:val="CommentTextChar"/>
    <w:link w:val="CommentSubject"/>
    <w:uiPriority w:val="99"/>
    <w:semiHidden/>
    <w:rsid w:val="007676E0"/>
    <w:rPr>
      <w:b/>
      <w:bCs/>
      <w:sz w:val="20"/>
      <w:szCs w:val="20"/>
    </w:rPr>
  </w:style>
  <w:style w:type="paragraph" w:styleId="Revision">
    <w:name w:val="Revision"/>
    <w:hidden/>
    <w:uiPriority w:val="99"/>
    <w:semiHidden/>
    <w:rsid w:val="00E55F8F"/>
    <w:pPr>
      <w:spacing w:after="0" w:line="240" w:lineRule="auto"/>
    </w:pPr>
  </w:style>
  <w:style w:type="paragraph" w:customStyle="1" w:styleId="yiv6326553480m4434184440366046050gmail-msolistparagraph">
    <w:name w:val="yiv6326553480m_4434184440366046050gmail-msolistparagraph"/>
    <w:basedOn w:val="Normal"/>
    <w:rsid w:val="0059638F"/>
    <w:pPr>
      <w:spacing w:before="100" w:beforeAutospacing="1" w:after="100" w:afterAutospacing="1" w:line="240" w:lineRule="auto"/>
    </w:pPr>
    <w:rPr>
      <w:rFonts w:ascii="Times New Roman" w:eastAsia="Times New Roman" w:hAnsi="Times New Roman" w:cs="Times New Roman"/>
      <w:sz w:val="24"/>
      <w:szCs w:val="24"/>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415892">
      <w:bodyDiv w:val="1"/>
      <w:marLeft w:val="0"/>
      <w:marRight w:val="0"/>
      <w:marTop w:val="0"/>
      <w:marBottom w:val="0"/>
      <w:divBdr>
        <w:top w:val="none" w:sz="0" w:space="0" w:color="auto"/>
        <w:left w:val="none" w:sz="0" w:space="0" w:color="auto"/>
        <w:bottom w:val="none" w:sz="0" w:space="0" w:color="auto"/>
        <w:right w:val="none" w:sz="0" w:space="0" w:color="auto"/>
      </w:divBdr>
    </w:div>
    <w:div w:id="483546057">
      <w:bodyDiv w:val="1"/>
      <w:marLeft w:val="0"/>
      <w:marRight w:val="0"/>
      <w:marTop w:val="0"/>
      <w:marBottom w:val="0"/>
      <w:divBdr>
        <w:top w:val="none" w:sz="0" w:space="0" w:color="auto"/>
        <w:left w:val="none" w:sz="0" w:space="0" w:color="auto"/>
        <w:bottom w:val="none" w:sz="0" w:space="0" w:color="auto"/>
        <w:right w:val="none" w:sz="0" w:space="0" w:color="auto"/>
      </w:divBdr>
    </w:div>
    <w:div w:id="564756402">
      <w:bodyDiv w:val="1"/>
      <w:marLeft w:val="0"/>
      <w:marRight w:val="0"/>
      <w:marTop w:val="0"/>
      <w:marBottom w:val="0"/>
      <w:divBdr>
        <w:top w:val="none" w:sz="0" w:space="0" w:color="auto"/>
        <w:left w:val="none" w:sz="0" w:space="0" w:color="auto"/>
        <w:bottom w:val="none" w:sz="0" w:space="0" w:color="auto"/>
        <w:right w:val="none" w:sz="0" w:space="0" w:color="auto"/>
      </w:divBdr>
    </w:div>
    <w:div w:id="700671356">
      <w:bodyDiv w:val="1"/>
      <w:marLeft w:val="0"/>
      <w:marRight w:val="0"/>
      <w:marTop w:val="0"/>
      <w:marBottom w:val="0"/>
      <w:divBdr>
        <w:top w:val="none" w:sz="0" w:space="0" w:color="auto"/>
        <w:left w:val="none" w:sz="0" w:space="0" w:color="auto"/>
        <w:bottom w:val="none" w:sz="0" w:space="0" w:color="auto"/>
        <w:right w:val="none" w:sz="0" w:space="0" w:color="auto"/>
      </w:divBdr>
    </w:div>
    <w:div w:id="901135993">
      <w:bodyDiv w:val="1"/>
      <w:marLeft w:val="0"/>
      <w:marRight w:val="0"/>
      <w:marTop w:val="0"/>
      <w:marBottom w:val="0"/>
      <w:divBdr>
        <w:top w:val="none" w:sz="0" w:space="0" w:color="auto"/>
        <w:left w:val="none" w:sz="0" w:space="0" w:color="auto"/>
        <w:bottom w:val="none" w:sz="0" w:space="0" w:color="auto"/>
        <w:right w:val="none" w:sz="0" w:space="0" w:color="auto"/>
      </w:divBdr>
    </w:div>
    <w:div w:id="909270355">
      <w:bodyDiv w:val="1"/>
      <w:marLeft w:val="0"/>
      <w:marRight w:val="0"/>
      <w:marTop w:val="0"/>
      <w:marBottom w:val="0"/>
      <w:divBdr>
        <w:top w:val="none" w:sz="0" w:space="0" w:color="auto"/>
        <w:left w:val="none" w:sz="0" w:space="0" w:color="auto"/>
        <w:bottom w:val="none" w:sz="0" w:space="0" w:color="auto"/>
        <w:right w:val="none" w:sz="0" w:space="0" w:color="auto"/>
      </w:divBdr>
    </w:div>
    <w:div w:id="1091968850">
      <w:bodyDiv w:val="1"/>
      <w:marLeft w:val="0"/>
      <w:marRight w:val="0"/>
      <w:marTop w:val="0"/>
      <w:marBottom w:val="0"/>
      <w:divBdr>
        <w:top w:val="none" w:sz="0" w:space="0" w:color="auto"/>
        <w:left w:val="none" w:sz="0" w:space="0" w:color="auto"/>
        <w:bottom w:val="none" w:sz="0" w:space="0" w:color="auto"/>
        <w:right w:val="none" w:sz="0" w:space="0" w:color="auto"/>
      </w:divBdr>
    </w:div>
    <w:div w:id="1143043744">
      <w:bodyDiv w:val="1"/>
      <w:marLeft w:val="0"/>
      <w:marRight w:val="0"/>
      <w:marTop w:val="0"/>
      <w:marBottom w:val="0"/>
      <w:divBdr>
        <w:top w:val="none" w:sz="0" w:space="0" w:color="auto"/>
        <w:left w:val="none" w:sz="0" w:space="0" w:color="auto"/>
        <w:bottom w:val="none" w:sz="0" w:space="0" w:color="auto"/>
        <w:right w:val="none" w:sz="0" w:space="0" w:color="auto"/>
      </w:divBdr>
    </w:div>
    <w:div w:id="1605189158">
      <w:bodyDiv w:val="1"/>
      <w:marLeft w:val="0"/>
      <w:marRight w:val="0"/>
      <w:marTop w:val="0"/>
      <w:marBottom w:val="0"/>
      <w:divBdr>
        <w:top w:val="none" w:sz="0" w:space="0" w:color="auto"/>
        <w:left w:val="none" w:sz="0" w:space="0" w:color="auto"/>
        <w:bottom w:val="none" w:sz="0" w:space="0" w:color="auto"/>
        <w:right w:val="none" w:sz="0" w:space="0" w:color="auto"/>
      </w:divBdr>
    </w:div>
    <w:div w:id="1750804884">
      <w:bodyDiv w:val="1"/>
      <w:marLeft w:val="0"/>
      <w:marRight w:val="0"/>
      <w:marTop w:val="0"/>
      <w:marBottom w:val="0"/>
      <w:divBdr>
        <w:top w:val="none" w:sz="0" w:space="0" w:color="auto"/>
        <w:left w:val="none" w:sz="0" w:space="0" w:color="auto"/>
        <w:bottom w:val="none" w:sz="0" w:space="0" w:color="auto"/>
        <w:right w:val="none" w:sz="0" w:space="0" w:color="auto"/>
      </w:divBdr>
    </w:div>
    <w:div w:id="1812556290">
      <w:bodyDiv w:val="1"/>
      <w:marLeft w:val="0"/>
      <w:marRight w:val="0"/>
      <w:marTop w:val="0"/>
      <w:marBottom w:val="0"/>
      <w:divBdr>
        <w:top w:val="none" w:sz="0" w:space="0" w:color="auto"/>
        <w:left w:val="none" w:sz="0" w:space="0" w:color="auto"/>
        <w:bottom w:val="none" w:sz="0" w:space="0" w:color="auto"/>
        <w:right w:val="none" w:sz="0" w:space="0" w:color="auto"/>
      </w:divBdr>
    </w:div>
    <w:div w:id="2046640240">
      <w:bodyDiv w:val="1"/>
      <w:marLeft w:val="0"/>
      <w:marRight w:val="0"/>
      <w:marTop w:val="0"/>
      <w:marBottom w:val="0"/>
      <w:divBdr>
        <w:top w:val="none" w:sz="0" w:space="0" w:color="auto"/>
        <w:left w:val="none" w:sz="0" w:space="0" w:color="auto"/>
        <w:bottom w:val="none" w:sz="0" w:space="0" w:color="auto"/>
        <w:right w:val="none" w:sz="0" w:space="0" w:color="auto"/>
      </w:divBdr>
    </w:div>
    <w:div w:id="21429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22403-4BF0-46AE-A67D-8F142F238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Cobus Botes</dc:creator>
  <cp:lastModifiedBy>Alodie G. Malapitan</cp:lastModifiedBy>
  <cp:revision>3</cp:revision>
  <cp:lastPrinted>2017-06-29T09:54:00Z</cp:lastPrinted>
  <dcterms:created xsi:type="dcterms:W3CDTF">2017-08-23T02:06:00Z</dcterms:created>
  <dcterms:modified xsi:type="dcterms:W3CDTF">2017-08-23T02:06:00Z</dcterms:modified>
</cp:coreProperties>
</file>