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8BFBD" w14:textId="77777777" w:rsidR="00513119" w:rsidRPr="00711677" w:rsidRDefault="00995BB6" w:rsidP="009F715C">
      <w:pPr>
        <w:spacing w:after="120" w:line="240" w:lineRule="auto"/>
        <w:ind w:left="1440" w:firstLine="720"/>
        <w:rPr>
          <w:rFonts w:asciiTheme="majorHAnsi" w:eastAsia="Times New Roman" w:hAnsiTheme="majorHAnsi" w:cs="Times New Roman"/>
          <w:color w:val="244061" w:themeColor="accent1" w:themeShade="80"/>
          <w:sz w:val="24"/>
          <w:szCs w:val="24"/>
          <w:lang w:val="en-US"/>
        </w:rPr>
      </w:pPr>
      <w:r w:rsidRPr="00711677">
        <w:rPr>
          <w:rFonts w:asciiTheme="majorHAnsi" w:eastAsia="Calibri" w:hAnsiTheme="majorHAnsi" w:cs="Times New Roman"/>
          <w:b/>
          <w:noProof/>
          <w:color w:val="244061" w:themeColor="accent1" w:themeShade="80"/>
          <w:spacing w:val="-2"/>
          <w:sz w:val="24"/>
          <w:szCs w:val="24"/>
          <w:lang w:val="en-PH" w:eastAsia="en-PH"/>
        </w:rPr>
        <mc:AlternateContent>
          <mc:Choice Requires="wps">
            <w:drawing>
              <wp:anchor distT="0" distB="0" distL="114300" distR="114300" simplePos="0" relativeHeight="251656192" behindDoc="0" locked="0" layoutInCell="1" allowOverlap="1" wp14:anchorId="222A3774" wp14:editId="489E11E4">
                <wp:simplePos x="0" y="0"/>
                <wp:positionH relativeFrom="column">
                  <wp:posOffset>-172528</wp:posOffset>
                </wp:positionH>
                <wp:positionV relativeFrom="paragraph">
                  <wp:posOffset>-35860</wp:posOffset>
                </wp:positionV>
                <wp:extent cx="3933645" cy="307975"/>
                <wp:effectExtent l="0" t="0" r="1016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645" cy="307975"/>
                        </a:xfrm>
                        <a:prstGeom prst="rect">
                          <a:avLst/>
                        </a:prstGeom>
                        <a:solidFill>
                          <a:srgbClr val="FFFFFF"/>
                        </a:solidFill>
                        <a:ln w="9525">
                          <a:solidFill>
                            <a:schemeClr val="tx1">
                              <a:lumMod val="50000"/>
                              <a:lumOff val="50000"/>
                            </a:schemeClr>
                          </a:solidFill>
                          <a:miter lim="800000"/>
                          <a:headEnd/>
                          <a:tailEnd/>
                        </a:ln>
                      </wps:spPr>
                      <wps:txbx>
                        <w:txbxContent>
                          <w:p w14:paraId="63720D40" w14:textId="77777777"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Pr>
                                <w:b/>
                                <w:color w:val="595959" w:themeColor="text1" w:themeTint="A6"/>
                                <w:sz w:val="24"/>
                              </w:rPr>
                              <w:t xml:space="preserve"> - &lt;</w:t>
                            </w:r>
                            <w:r w:rsidRPr="00711677">
                              <w:rPr>
                                <w:b/>
                                <w:i/>
                                <w:color w:val="595959" w:themeColor="text1" w:themeTint="A6"/>
                                <w:sz w:val="24"/>
                              </w:rPr>
                              <w:t>Working Group</w:t>
                            </w:r>
                            <w:r w:rsidR="00995BB6">
                              <w:rPr>
                                <w:b/>
                                <w:i/>
                                <w:color w:val="595959" w:themeColor="text1" w:themeTint="A6"/>
                                <w:sz w:val="24"/>
                              </w:rPr>
                              <w:t xml:space="preserve"> on Public Debt</w:t>
                            </w:r>
                            <w:r>
                              <w:rPr>
                                <w:b/>
                                <w:color w:val="595959" w:themeColor="text1" w:themeTint="A6"/>
                                <w:sz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A3774" id="_x0000_t202" coordsize="21600,21600" o:spt="202" path="m,l,21600r21600,l21600,xe">
                <v:stroke joinstyle="miter"/>
                <v:path gradientshapeok="t" o:connecttype="rect"/>
              </v:shapetype>
              <v:shape id="Text Box 2" o:spid="_x0000_s1026" type="#_x0000_t202" style="position:absolute;left:0;text-align:left;margin-left:-13.6pt;margin-top:-2.8pt;width:309.75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" strokecolor="gray [1629]">
                <v:textbox>
                  <w:txbxContent>
                    <w:p w14:paraId="63720D40" w14:textId="77777777"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Pr>
                          <w:b/>
                          <w:color w:val="595959" w:themeColor="text1" w:themeTint="A6"/>
                          <w:sz w:val="24"/>
                        </w:rPr>
                        <w:t xml:space="preserve"> - &lt;</w:t>
                      </w:r>
                      <w:r w:rsidRPr="00711677">
                        <w:rPr>
                          <w:b/>
                          <w:i/>
                          <w:color w:val="595959" w:themeColor="text1" w:themeTint="A6"/>
                          <w:sz w:val="24"/>
                        </w:rPr>
                        <w:t>Working Group</w:t>
                      </w:r>
                      <w:r w:rsidR="00995BB6">
                        <w:rPr>
                          <w:b/>
                          <w:i/>
                          <w:color w:val="595959" w:themeColor="text1" w:themeTint="A6"/>
                          <w:sz w:val="24"/>
                        </w:rPr>
                        <w:t xml:space="preserve"> on Public Debt</w:t>
                      </w:r>
                      <w:r>
                        <w:rPr>
                          <w:b/>
                          <w:color w:val="595959" w:themeColor="text1" w:themeTint="A6"/>
                          <w:sz w:val="24"/>
                        </w:rPr>
                        <w:t>&gt;</w:t>
                      </w:r>
                    </w:p>
                  </w:txbxContent>
                </v:textbox>
              </v:shape>
            </w:pict>
          </mc:Fallback>
        </mc:AlternateContent>
      </w:r>
      <w:r w:rsidR="00711677" w:rsidRPr="00711677">
        <w:rPr>
          <w:rFonts w:asciiTheme="majorHAnsi" w:eastAsia="Times New Roman" w:hAnsiTheme="majorHAnsi" w:cs="Times New Roman"/>
          <w:noProof/>
          <w:color w:val="244061" w:themeColor="accent1" w:themeShade="80"/>
          <w:sz w:val="24"/>
          <w:szCs w:val="24"/>
          <w:lang w:val="en-PH" w:eastAsia="en-PH"/>
        </w:rPr>
        <mc:AlternateContent>
          <mc:Choice Requires="wps">
            <w:drawing>
              <wp:anchor distT="0" distB="0" distL="114300" distR="114300" simplePos="0" relativeHeight="251652096" behindDoc="0" locked="0" layoutInCell="1" allowOverlap="1" wp14:anchorId="73212CDE" wp14:editId="5AC34712">
                <wp:simplePos x="0" y="0"/>
                <wp:positionH relativeFrom="column">
                  <wp:posOffset>6271404</wp:posOffset>
                </wp:positionH>
                <wp:positionV relativeFrom="paragraph">
                  <wp:posOffset>-587950</wp:posOffset>
                </wp:positionV>
                <wp:extent cx="3053751" cy="1647645"/>
                <wp:effectExtent l="0" t="0" r="1333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51" cy="1647645"/>
                        </a:xfrm>
                        <a:prstGeom prst="rect">
                          <a:avLst/>
                        </a:prstGeom>
                        <a:solidFill>
                          <a:srgbClr val="FFFFFF"/>
                        </a:solidFill>
                        <a:ln w="9525">
                          <a:solidFill>
                            <a:schemeClr val="bg1">
                              <a:lumMod val="50000"/>
                            </a:schemeClr>
                          </a:solidFill>
                          <a:miter lim="800000"/>
                          <a:headEnd/>
                          <a:tailEnd/>
                        </a:ln>
                      </wps:spPr>
                      <wps:txbx>
                        <w:txbxContent>
                          <w:p w14:paraId="46F96E4A" w14:textId="77777777"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1"/>
                              <w:gridCol w:w="3696"/>
                            </w:tblGrid>
                            <w:tr w:rsidR="00AC6896" w14:paraId="6C738483" w14:textId="77777777" w:rsidTr="00711677">
                              <w:tc>
                                <w:tcPr>
                                  <w:tcW w:w="817" w:type="dxa"/>
                                  <w:shd w:val="clear" w:color="auto" w:fill="92D050"/>
                                </w:tcPr>
                                <w:p w14:paraId="6A08DACE" w14:textId="77777777" w:rsidR="004B67E0" w:rsidRDefault="004B67E0"/>
                              </w:tc>
                              <w:tc>
                                <w:tcPr>
                                  <w:tcW w:w="3768" w:type="dxa"/>
                                </w:tcPr>
                                <w:p w14:paraId="70BF0D70" w14:textId="77777777"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14:paraId="40D38FCD" w14:textId="77777777" w:rsidTr="00711677">
                              <w:tc>
                                <w:tcPr>
                                  <w:tcW w:w="817" w:type="dxa"/>
                                  <w:shd w:val="clear" w:color="auto" w:fill="FFC000"/>
                                </w:tcPr>
                                <w:p w14:paraId="26AF7520" w14:textId="77777777" w:rsidR="004B67E0" w:rsidRDefault="004B67E0"/>
                              </w:tc>
                              <w:tc>
                                <w:tcPr>
                                  <w:tcW w:w="3768" w:type="dxa"/>
                                </w:tcPr>
                                <w:p w14:paraId="342D16E1" w14:textId="77777777"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14:paraId="335B9A1A" w14:textId="77777777" w:rsidTr="00711677">
                              <w:tc>
                                <w:tcPr>
                                  <w:tcW w:w="817" w:type="dxa"/>
                                  <w:shd w:val="clear" w:color="auto" w:fill="FF5757"/>
                                </w:tcPr>
                                <w:p w14:paraId="0F40920E" w14:textId="77777777" w:rsidR="004B67E0" w:rsidRDefault="004B67E0"/>
                              </w:tc>
                              <w:tc>
                                <w:tcPr>
                                  <w:tcW w:w="3768" w:type="dxa"/>
                                </w:tcPr>
                                <w:p w14:paraId="3B2FC9C0" w14:textId="77777777"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14:paraId="5E468E29" w14:textId="77777777" w:rsidTr="00A75398">
                              <w:tc>
                                <w:tcPr>
                                  <w:tcW w:w="817" w:type="dxa"/>
                                  <w:shd w:val="clear" w:color="auto" w:fill="5F497A" w:themeFill="accent4" w:themeFillShade="BF"/>
                                </w:tcPr>
                                <w:p w14:paraId="5C3398A2" w14:textId="77777777" w:rsidR="00711677" w:rsidRDefault="00711677"/>
                              </w:tc>
                              <w:tc>
                                <w:tcPr>
                                  <w:tcW w:w="3768" w:type="dxa"/>
                                </w:tcPr>
                                <w:p w14:paraId="427359BD" w14:textId="77777777"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14:paraId="2C9AB55F" w14:textId="77777777" w:rsidTr="00711677">
                              <w:tc>
                                <w:tcPr>
                                  <w:tcW w:w="817" w:type="dxa"/>
                                  <w:shd w:val="clear" w:color="auto" w:fill="29D6FF"/>
                                </w:tcPr>
                                <w:p w14:paraId="53C8A751" w14:textId="77777777" w:rsidR="004B67E0" w:rsidRDefault="004B67E0"/>
                              </w:tc>
                              <w:tc>
                                <w:tcPr>
                                  <w:tcW w:w="3768" w:type="dxa"/>
                                </w:tcPr>
                                <w:p w14:paraId="53C7A1E5" w14:textId="77777777" w:rsidR="004B67E0" w:rsidRPr="00711677" w:rsidRDefault="004B67E0" w:rsidP="00711677">
                                  <w:pPr>
                                    <w:spacing w:line="240" w:lineRule="auto"/>
                                    <w:rPr>
                                      <w:sz w:val="18"/>
                                      <w:szCs w:val="18"/>
                                    </w:rPr>
                                  </w:pPr>
                                  <w:r w:rsidRPr="00711677">
                                    <w:rPr>
                                      <w:sz w:val="18"/>
                                      <w:szCs w:val="18"/>
                                    </w:rPr>
                                    <w:t>Not yet scheduled to start</w:t>
                                  </w:r>
                                </w:p>
                              </w:tc>
                            </w:tr>
                            <w:tr w:rsidR="00AC6896" w14:paraId="322087DA" w14:textId="77777777" w:rsidTr="00711677">
                              <w:tc>
                                <w:tcPr>
                                  <w:tcW w:w="817" w:type="dxa"/>
                                  <w:shd w:val="clear" w:color="auto" w:fill="404040" w:themeFill="text1" w:themeFillTint="BF"/>
                                </w:tcPr>
                                <w:p w14:paraId="462CB58F" w14:textId="77777777" w:rsidR="004B67E0" w:rsidRDefault="004B67E0"/>
                              </w:tc>
                              <w:tc>
                                <w:tcPr>
                                  <w:tcW w:w="3768" w:type="dxa"/>
                                </w:tcPr>
                                <w:p w14:paraId="3C3E03B2" w14:textId="77777777" w:rsidR="004B67E0" w:rsidRDefault="004B67E0">
                                  <w:r>
                                    <w:t>Initiative</w:t>
                                  </w:r>
                                  <w:r w:rsidR="00B91563">
                                    <w:t xml:space="preserve">s </w:t>
                                  </w:r>
                                  <w:r>
                                    <w:t xml:space="preserve"> / project</w:t>
                                  </w:r>
                                  <w:r w:rsidR="00B91563">
                                    <w:t>s</w:t>
                                  </w:r>
                                  <w:r>
                                    <w:t xml:space="preserve"> completed </w:t>
                                  </w:r>
                                </w:p>
                              </w:tc>
                            </w:tr>
                          </w:tbl>
                          <w:p w14:paraId="250874EA" w14:textId="77777777" w:rsidR="004B67E0" w:rsidRDefault="004B67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12CDE" id="_x0000_t202" coordsize="21600,21600" o:spt="202" path="m,l,21600r21600,l21600,xe">
                <v:stroke joinstyle="miter"/>
                <v:path gradientshapeok="t" o:connecttype="rect"/>
              </v:shapetype>
              <v:shape id="_x0000_s1027" type="#_x0000_t202" style="position:absolute;left:0;text-align:left;margin-left:493.8pt;margin-top:-46.3pt;width:240.45pt;height:1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" strokecolor="#7f7f7f [1612]">
                <v:textbox>
                  <w:txbxContent>
                    <w:p w14:paraId="46F96E4A" w14:textId="77777777"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1"/>
                        <w:gridCol w:w="3696"/>
                      </w:tblGrid>
                      <w:tr w:rsidR="00AC6896" w14:paraId="6C738483" w14:textId="77777777" w:rsidTr="00711677">
                        <w:tc>
                          <w:tcPr>
                            <w:tcW w:w="817" w:type="dxa"/>
                            <w:shd w:val="clear" w:color="auto" w:fill="92D050"/>
                          </w:tcPr>
                          <w:p w14:paraId="6A08DACE" w14:textId="77777777" w:rsidR="004B67E0" w:rsidRDefault="004B67E0"/>
                        </w:tc>
                        <w:tc>
                          <w:tcPr>
                            <w:tcW w:w="3768" w:type="dxa"/>
                          </w:tcPr>
                          <w:p w14:paraId="70BF0D70" w14:textId="77777777"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14:paraId="40D38FCD" w14:textId="77777777" w:rsidTr="00711677">
                        <w:tc>
                          <w:tcPr>
                            <w:tcW w:w="817" w:type="dxa"/>
                            <w:shd w:val="clear" w:color="auto" w:fill="FFC000"/>
                          </w:tcPr>
                          <w:p w14:paraId="26AF7520" w14:textId="77777777" w:rsidR="004B67E0" w:rsidRDefault="004B67E0"/>
                        </w:tc>
                        <w:tc>
                          <w:tcPr>
                            <w:tcW w:w="3768" w:type="dxa"/>
                          </w:tcPr>
                          <w:p w14:paraId="342D16E1" w14:textId="77777777"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14:paraId="335B9A1A" w14:textId="77777777" w:rsidTr="00711677">
                        <w:tc>
                          <w:tcPr>
                            <w:tcW w:w="817" w:type="dxa"/>
                            <w:shd w:val="clear" w:color="auto" w:fill="FF5757"/>
                          </w:tcPr>
                          <w:p w14:paraId="0F40920E" w14:textId="77777777" w:rsidR="004B67E0" w:rsidRDefault="004B67E0"/>
                        </w:tc>
                        <w:tc>
                          <w:tcPr>
                            <w:tcW w:w="3768" w:type="dxa"/>
                          </w:tcPr>
                          <w:p w14:paraId="3B2FC9C0" w14:textId="77777777"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14:paraId="5E468E29" w14:textId="77777777" w:rsidTr="00A75398">
                        <w:tc>
                          <w:tcPr>
                            <w:tcW w:w="817" w:type="dxa"/>
                            <w:shd w:val="clear" w:color="auto" w:fill="5F497A" w:themeFill="accent4" w:themeFillShade="BF"/>
                          </w:tcPr>
                          <w:p w14:paraId="5C3398A2" w14:textId="77777777" w:rsidR="00711677" w:rsidRDefault="00711677"/>
                        </w:tc>
                        <w:tc>
                          <w:tcPr>
                            <w:tcW w:w="3768" w:type="dxa"/>
                          </w:tcPr>
                          <w:p w14:paraId="427359BD" w14:textId="77777777"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14:paraId="2C9AB55F" w14:textId="77777777" w:rsidTr="00711677">
                        <w:tc>
                          <w:tcPr>
                            <w:tcW w:w="817" w:type="dxa"/>
                            <w:shd w:val="clear" w:color="auto" w:fill="29D6FF"/>
                          </w:tcPr>
                          <w:p w14:paraId="53C8A751" w14:textId="77777777" w:rsidR="004B67E0" w:rsidRDefault="004B67E0"/>
                        </w:tc>
                        <w:tc>
                          <w:tcPr>
                            <w:tcW w:w="3768" w:type="dxa"/>
                          </w:tcPr>
                          <w:p w14:paraId="53C7A1E5" w14:textId="77777777" w:rsidR="004B67E0" w:rsidRPr="00711677" w:rsidRDefault="004B67E0" w:rsidP="00711677">
                            <w:pPr>
                              <w:spacing w:line="240" w:lineRule="auto"/>
                              <w:rPr>
                                <w:sz w:val="18"/>
                                <w:szCs w:val="18"/>
                              </w:rPr>
                            </w:pPr>
                            <w:r w:rsidRPr="00711677">
                              <w:rPr>
                                <w:sz w:val="18"/>
                                <w:szCs w:val="18"/>
                              </w:rPr>
                              <w:t>Not yet scheduled to start</w:t>
                            </w:r>
                          </w:p>
                        </w:tc>
                      </w:tr>
                      <w:tr w:rsidR="00AC6896" w14:paraId="322087DA" w14:textId="77777777" w:rsidTr="00711677">
                        <w:tc>
                          <w:tcPr>
                            <w:tcW w:w="817" w:type="dxa"/>
                            <w:shd w:val="clear" w:color="auto" w:fill="404040" w:themeFill="text1" w:themeFillTint="BF"/>
                          </w:tcPr>
                          <w:p w14:paraId="462CB58F" w14:textId="77777777" w:rsidR="004B67E0" w:rsidRDefault="004B67E0"/>
                        </w:tc>
                        <w:tc>
                          <w:tcPr>
                            <w:tcW w:w="3768" w:type="dxa"/>
                          </w:tcPr>
                          <w:p w14:paraId="3C3E03B2" w14:textId="77777777" w:rsidR="004B67E0" w:rsidRDefault="004B67E0">
                            <w:r>
                              <w:t>Initiative</w:t>
                            </w:r>
                            <w:r w:rsidR="00B91563">
                              <w:t xml:space="preserve">s </w:t>
                            </w:r>
                            <w:r>
                              <w:t xml:space="preserve"> / project</w:t>
                            </w:r>
                            <w:r w:rsidR="00B91563">
                              <w:t>s</w:t>
                            </w:r>
                            <w:r>
                              <w:t xml:space="preserve"> completed </w:t>
                            </w:r>
                          </w:p>
                        </w:tc>
                      </w:tr>
                    </w:tbl>
                    <w:p w14:paraId="250874EA" w14:textId="77777777" w:rsidR="004B67E0" w:rsidRDefault="004B67E0"/>
                  </w:txbxContent>
                </v:textbox>
              </v:shape>
            </w:pict>
          </mc:Fallback>
        </mc:AlternateContent>
      </w:r>
      <w:r w:rsidR="00711677" w:rsidRPr="00711677">
        <w:rPr>
          <w:rFonts w:asciiTheme="majorHAnsi" w:eastAsia="Times New Roman" w:hAnsiTheme="majorHAnsi" w:cs="Times New Roman"/>
          <w:b/>
          <w:noProof/>
          <w:color w:val="008080"/>
          <w:sz w:val="24"/>
          <w:szCs w:val="24"/>
          <w:lang w:val="en-PH" w:eastAsia="en-PH"/>
        </w:rPr>
        <mc:AlternateContent>
          <mc:Choice Requires="wps">
            <w:drawing>
              <wp:anchor distT="0" distB="0" distL="114300" distR="114300" simplePos="0" relativeHeight="251660288" behindDoc="0" locked="0" layoutInCell="1" allowOverlap="1" wp14:anchorId="108A5249" wp14:editId="25837EB5">
                <wp:simplePos x="0" y="0"/>
                <wp:positionH relativeFrom="column">
                  <wp:posOffset>3614468</wp:posOffset>
                </wp:positionH>
                <wp:positionV relativeFrom="paragraph">
                  <wp:posOffset>-449580</wp:posOffset>
                </wp:positionV>
                <wp:extent cx="1863306" cy="1403985"/>
                <wp:effectExtent l="0" t="0" r="381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306" cy="1403985"/>
                        </a:xfrm>
                        <a:prstGeom prst="rect">
                          <a:avLst/>
                        </a:prstGeom>
                        <a:solidFill>
                          <a:srgbClr val="FFFFFF"/>
                        </a:solidFill>
                        <a:ln w="9525">
                          <a:noFill/>
                          <a:miter lim="800000"/>
                          <a:headEnd/>
                          <a:tailEnd/>
                        </a:ln>
                      </wps:spPr>
                      <wps:txbx>
                        <w:txbxContent>
                          <w:p w14:paraId="70098C84" w14:textId="77777777" w:rsidR="000808AF" w:rsidRPr="000808AF" w:rsidRDefault="00711677">
                            <w:pPr>
                              <w:rPr>
                                <w:rFonts w:ascii="Arial Narrow" w:hAnsi="Arial Narrow"/>
                                <w:b/>
                                <w:color w:val="C00000"/>
                              </w:rPr>
                            </w:pPr>
                            <w:r w:rsidRPr="00711677">
                              <w:rPr>
                                <w:rFonts w:asciiTheme="majorHAnsi" w:eastAsia="Times New Roman" w:hAnsiTheme="majorHAnsi" w:cs="Times New Roman"/>
                                <w:color w:val="244061" w:themeColor="accent1" w:themeShade="80"/>
                                <w:sz w:val="24"/>
                                <w:szCs w:val="24"/>
                                <w:lang w:val="en-US"/>
                              </w:rPr>
                              <w:t>KSC work plan 2017</w:t>
                            </w:r>
                            <w:r>
                              <w:rPr>
                                <w:rFonts w:asciiTheme="majorHAnsi" w:eastAsia="Times New Roman" w:hAnsiTheme="majorHAnsi" w:cs="Times New Roman"/>
                                <w:color w:val="244061" w:themeColor="accent1" w:themeShade="80"/>
                                <w:sz w:val="24"/>
                                <w:szCs w:val="24"/>
                                <w:lang w:val="en-US"/>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A5249" id="_x0000_s1028" type="#_x0000_t202" style="position:absolute;left:0;text-align:left;margin-left:284.6pt;margin-top:-35.4pt;width:146.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" stroked="f">
                <v:textbox style="mso-fit-shape-to-text:t">
                  <w:txbxContent>
                    <w:p w14:paraId="70098C84" w14:textId="77777777" w:rsidR="000808AF" w:rsidRPr="000808AF" w:rsidRDefault="00711677">
                      <w:pPr>
                        <w:rPr>
                          <w:rFonts w:ascii="Arial Narrow" w:hAnsi="Arial Narrow"/>
                          <w:b/>
                          <w:color w:val="C00000"/>
                        </w:rPr>
                      </w:pPr>
                      <w:r w:rsidRPr="00711677">
                        <w:rPr>
                          <w:rFonts w:asciiTheme="majorHAnsi" w:eastAsia="Times New Roman" w:hAnsiTheme="majorHAnsi" w:cs="Times New Roman"/>
                          <w:color w:val="244061" w:themeColor="accent1" w:themeShade="80"/>
                          <w:sz w:val="24"/>
                          <w:szCs w:val="24"/>
                          <w:lang w:val="en-US"/>
                        </w:rPr>
                        <w:t>KSC work plan 2017</w:t>
                      </w:r>
                      <w:r>
                        <w:rPr>
                          <w:rFonts w:asciiTheme="majorHAnsi" w:eastAsia="Times New Roman" w:hAnsiTheme="majorHAnsi" w:cs="Times New Roman"/>
                          <w:color w:val="244061" w:themeColor="accent1" w:themeShade="80"/>
                          <w:sz w:val="24"/>
                          <w:szCs w:val="24"/>
                          <w:lang w:val="en-US"/>
                        </w:rPr>
                        <w:t>-19</w:t>
                      </w:r>
                    </w:p>
                  </w:txbxContent>
                </v:textbox>
              </v:shape>
            </w:pict>
          </mc:Fallback>
        </mc:AlternateContent>
      </w:r>
    </w:p>
    <w:p w14:paraId="1270A408" w14:textId="77777777" w:rsidR="00711677"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p>
    <w:p w14:paraId="06518FBE" w14:textId="62CF37D7" w:rsidR="006D331D"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Strategic objectives review</w:t>
      </w:r>
      <w:r w:rsidR="0015101D"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r</w:t>
      </w:r>
      <w:r w:rsidR="000808AF" w:rsidRPr="003A55C8">
        <w:rPr>
          <w:rFonts w:asciiTheme="majorHAnsi" w:eastAsia="Times New Roman" w:hAnsiTheme="majorHAnsi" w:cs="Times New Roman"/>
          <w:b/>
          <w:color w:val="008080"/>
          <w:sz w:val="20"/>
          <w:szCs w:val="20"/>
          <w:lang w:val="en-US"/>
        </w:rPr>
        <w:t xml:space="preserve">eport </w:t>
      </w:r>
      <w:r w:rsidR="000808AF" w:rsidRPr="006C702D">
        <w:rPr>
          <w:rFonts w:asciiTheme="majorHAnsi" w:eastAsia="Times New Roman" w:hAnsiTheme="majorHAnsi" w:cs="Times New Roman"/>
          <w:b/>
          <w:i/>
          <w:color w:val="008080"/>
          <w:sz w:val="20"/>
          <w:szCs w:val="20"/>
          <w:lang w:val="en-US"/>
        </w:rPr>
        <w:t>(</w:t>
      </w:r>
      <w:r w:rsidR="00A776F2" w:rsidRPr="006C702D">
        <w:rPr>
          <w:rFonts w:asciiTheme="majorHAnsi" w:eastAsia="Times New Roman" w:hAnsiTheme="majorHAnsi" w:cs="Times New Roman"/>
          <w:b/>
          <w:i/>
          <w:color w:val="008080"/>
          <w:sz w:val="20"/>
          <w:szCs w:val="20"/>
          <w:lang w:val="en-US"/>
        </w:rPr>
        <w:t xml:space="preserve">as </w:t>
      </w:r>
      <w:r w:rsidR="00F35C8D">
        <w:rPr>
          <w:rFonts w:asciiTheme="majorHAnsi" w:eastAsia="Times New Roman" w:hAnsiTheme="majorHAnsi" w:cs="Times New Roman"/>
          <w:b/>
          <w:i/>
          <w:color w:val="008080"/>
          <w:sz w:val="20"/>
          <w:szCs w:val="20"/>
          <w:lang w:val="en-US"/>
        </w:rPr>
        <w:t xml:space="preserve">of </w:t>
      </w:r>
      <w:r w:rsidR="003E2E08">
        <w:rPr>
          <w:rFonts w:asciiTheme="majorHAnsi" w:eastAsia="Times New Roman" w:hAnsiTheme="majorHAnsi" w:cs="Times New Roman"/>
          <w:b/>
          <w:i/>
          <w:color w:val="008080"/>
          <w:sz w:val="20"/>
          <w:szCs w:val="20"/>
          <w:lang w:val="en-US"/>
        </w:rPr>
        <w:t>22 May 2019</w:t>
      </w:r>
      <w:r w:rsidR="000808AF" w:rsidRPr="006C702D">
        <w:rPr>
          <w:rFonts w:asciiTheme="majorHAnsi" w:eastAsia="Times New Roman" w:hAnsiTheme="majorHAnsi" w:cs="Times New Roman"/>
          <w:b/>
          <w:i/>
          <w:color w:val="008080"/>
          <w:sz w:val="20"/>
          <w:szCs w:val="20"/>
          <w:lang w:val="en-US"/>
        </w:rPr>
        <w:t>)</w:t>
      </w:r>
    </w:p>
    <w:p w14:paraId="02040E6B" w14:textId="77777777" w:rsidR="00ED2F6A" w:rsidRDefault="00ED2F6A" w:rsidP="001F3ED5">
      <w:pPr>
        <w:spacing w:after="120" w:line="240" w:lineRule="auto"/>
        <w:ind w:left="720" w:hanging="862"/>
        <w:rPr>
          <w:rFonts w:asciiTheme="majorHAnsi" w:eastAsia="Times New Roman" w:hAnsiTheme="majorHAnsi" w:cs="Times New Roman"/>
          <w:sz w:val="20"/>
          <w:szCs w:val="20"/>
          <w:lang w:val="en-US"/>
        </w:rPr>
      </w:pPr>
    </w:p>
    <w:p w14:paraId="70A9E0A8" w14:textId="77777777" w:rsidR="00711677" w:rsidRPr="001F3ED5" w:rsidRDefault="00711677" w:rsidP="001F3ED5">
      <w:pPr>
        <w:spacing w:after="120" w:line="240" w:lineRule="auto"/>
        <w:ind w:left="720" w:hanging="862"/>
        <w:rPr>
          <w:rFonts w:asciiTheme="majorHAnsi" w:eastAsia="Times New Roman" w:hAnsiTheme="majorHAnsi" w:cs="Times New Roman"/>
          <w:sz w:val="20"/>
          <w:szCs w:val="20"/>
          <w:lang w:val="en-US"/>
        </w:rPr>
      </w:pPr>
    </w:p>
    <w:tbl>
      <w:tblPr>
        <w:tblStyle w:val="TableGrid"/>
        <w:tblW w:w="16641" w:type="dxa"/>
        <w:tblInd w:w="-356" w:type="dxa"/>
        <w:tblLayout w:type="fixed"/>
        <w:tblCellMar>
          <w:left w:w="115" w:type="dxa"/>
          <w:right w:w="115" w:type="dxa"/>
        </w:tblCellMar>
        <w:tblLook w:val="04A0" w:firstRow="1" w:lastRow="0" w:firstColumn="1" w:lastColumn="0" w:noHBand="0" w:noVBand="1"/>
      </w:tblPr>
      <w:tblGrid>
        <w:gridCol w:w="2181"/>
        <w:gridCol w:w="5100"/>
        <w:gridCol w:w="3780"/>
        <w:gridCol w:w="5580"/>
      </w:tblGrid>
      <w:tr w:rsidR="00920693" w:rsidRPr="007326AB" w14:paraId="5BCE25E4" w14:textId="6EFA0168" w:rsidTr="00920693">
        <w:trPr>
          <w:tblHeader/>
        </w:trPr>
        <w:tc>
          <w:tcPr>
            <w:tcW w:w="2181" w:type="dxa"/>
            <w:shd w:val="clear" w:color="auto" w:fill="244061" w:themeFill="accent1" w:themeFillShade="80"/>
            <w:vAlign w:val="center"/>
          </w:tcPr>
          <w:p w14:paraId="3CFA6F25" w14:textId="77777777" w:rsidR="00920693" w:rsidRPr="007326AB" w:rsidRDefault="00920693"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Strategic objective</w:t>
            </w:r>
            <w:r>
              <w:rPr>
                <w:rFonts w:asciiTheme="majorHAnsi" w:hAnsiTheme="majorHAnsi"/>
                <w:b/>
                <w:color w:val="FFFFFF" w:themeColor="background1"/>
              </w:rPr>
              <w:t>s</w:t>
            </w:r>
          </w:p>
        </w:tc>
        <w:tc>
          <w:tcPr>
            <w:tcW w:w="5100" w:type="dxa"/>
            <w:shd w:val="clear" w:color="auto" w:fill="244061" w:themeFill="accent1" w:themeFillShade="80"/>
            <w:vAlign w:val="center"/>
          </w:tcPr>
          <w:p w14:paraId="6D022B9A" w14:textId="77777777" w:rsidR="00920693" w:rsidRPr="007326AB" w:rsidRDefault="00920693"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Strategies &amp; initiatives </w:t>
            </w:r>
          </w:p>
        </w:tc>
        <w:tc>
          <w:tcPr>
            <w:tcW w:w="3780" w:type="dxa"/>
            <w:shd w:val="clear" w:color="auto" w:fill="244061" w:themeFill="accent1" w:themeFillShade="80"/>
            <w:vAlign w:val="center"/>
          </w:tcPr>
          <w:p w14:paraId="097E04CB" w14:textId="495BCA74" w:rsidR="00920693" w:rsidRPr="007326AB" w:rsidRDefault="00920693" w:rsidP="007326AB">
            <w:pPr>
              <w:spacing w:line="240" w:lineRule="atLeast"/>
              <w:jc w:val="center"/>
              <w:rPr>
                <w:rFonts w:asciiTheme="majorHAnsi" w:hAnsiTheme="majorHAnsi"/>
                <w:b/>
                <w:color w:val="FFFFFF" w:themeColor="background1"/>
              </w:rPr>
            </w:pPr>
          </w:p>
        </w:tc>
        <w:tc>
          <w:tcPr>
            <w:tcW w:w="5580" w:type="dxa"/>
            <w:shd w:val="clear" w:color="auto" w:fill="244061" w:themeFill="accent1" w:themeFillShade="80"/>
            <w:vAlign w:val="center"/>
          </w:tcPr>
          <w:p w14:paraId="428AA44E" w14:textId="13DD47D9" w:rsidR="00920693" w:rsidRPr="007326AB" w:rsidRDefault="00920693" w:rsidP="007326AB">
            <w:pPr>
              <w:spacing w:line="240" w:lineRule="atLeast"/>
              <w:jc w:val="center"/>
              <w:rPr>
                <w:rFonts w:asciiTheme="majorHAnsi" w:hAnsiTheme="majorHAnsi"/>
                <w:b/>
                <w:color w:val="FFFFFF" w:themeColor="background1"/>
              </w:rPr>
            </w:pPr>
          </w:p>
        </w:tc>
      </w:tr>
      <w:tr w:rsidR="00920693" w:rsidRPr="007326AB" w14:paraId="56923A38" w14:textId="2616A6BE" w:rsidTr="00920693">
        <w:trPr>
          <w:tblHeader/>
        </w:trPr>
        <w:tc>
          <w:tcPr>
            <w:tcW w:w="2181" w:type="dxa"/>
            <w:shd w:val="clear" w:color="auto" w:fill="244061" w:themeFill="accent1" w:themeFillShade="80"/>
            <w:vAlign w:val="center"/>
          </w:tcPr>
          <w:p w14:paraId="1F6681E0" w14:textId="4095B371" w:rsidR="00920693" w:rsidRPr="007326AB" w:rsidRDefault="00920693"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 xml:space="preserve"> (as per </w:t>
            </w:r>
            <w:r>
              <w:rPr>
                <w:rFonts w:asciiTheme="majorHAnsi" w:hAnsiTheme="majorHAnsi"/>
                <w:color w:val="FFFFFF" w:themeColor="background1"/>
              </w:rPr>
              <w:t xml:space="preserve">INTOSAI </w:t>
            </w:r>
            <w:r w:rsidRPr="007326AB">
              <w:rPr>
                <w:rFonts w:asciiTheme="majorHAnsi" w:hAnsiTheme="majorHAnsi"/>
                <w:color w:val="FFFFFF" w:themeColor="background1"/>
              </w:rPr>
              <w:t>SP 2017-22)</w:t>
            </w:r>
          </w:p>
        </w:tc>
        <w:tc>
          <w:tcPr>
            <w:tcW w:w="5100" w:type="dxa"/>
            <w:shd w:val="clear" w:color="auto" w:fill="244061" w:themeFill="accent1" w:themeFillShade="80"/>
            <w:vAlign w:val="center"/>
          </w:tcPr>
          <w:p w14:paraId="6EAC8444" w14:textId="7E23C7C1" w:rsidR="00920693" w:rsidRPr="007326AB" w:rsidRDefault="00920693"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 xml:space="preserve"> (as per </w:t>
            </w:r>
            <w:r>
              <w:rPr>
                <w:rFonts w:asciiTheme="majorHAnsi" w:hAnsiTheme="majorHAnsi"/>
                <w:color w:val="FFFFFF" w:themeColor="background1"/>
              </w:rPr>
              <w:t xml:space="preserve">INTOSAI </w:t>
            </w:r>
            <w:r w:rsidRPr="007326AB">
              <w:rPr>
                <w:rFonts w:asciiTheme="majorHAnsi" w:hAnsiTheme="majorHAnsi"/>
                <w:color w:val="FFFFFF" w:themeColor="background1"/>
              </w:rPr>
              <w:t>SP 2017-22)</w:t>
            </w:r>
          </w:p>
        </w:tc>
        <w:tc>
          <w:tcPr>
            <w:tcW w:w="3780" w:type="dxa"/>
            <w:shd w:val="clear" w:color="auto" w:fill="244061" w:themeFill="accent1" w:themeFillShade="80"/>
            <w:vAlign w:val="center"/>
          </w:tcPr>
          <w:p w14:paraId="6B5B26C7" w14:textId="1A8CE84F" w:rsidR="00920693" w:rsidRPr="007326AB" w:rsidRDefault="00920693"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P</w:t>
            </w:r>
            <w:r>
              <w:rPr>
                <w:rFonts w:asciiTheme="majorHAnsi" w:hAnsiTheme="majorHAnsi"/>
                <w:b/>
                <w:color w:val="FFFFFF" w:themeColor="background1"/>
              </w:rPr>
              <w:t>rogress</w:t>
            </w:r>
            <w:r w:rsidRPr="007326AB">
              <w:rPr>
                <w:rFonts w:asciiTheme="majorHAnsi" w:hAnsiTheme="majorHAnsi"/>
                <w:b/>
                <w:color w:val="FFFFFF" w:themeColor="background1"/>
              </w:rPr>
              <w:t xml:space="preserve">  </w:t>
            </w:r>
          </w:p>
          <w:p w14:paraId="22EB86B9" w14:textId="77777777" w:rsidR="00920693" w:rsidRPr="007326AB" w:rsidRDefault="00920693"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indicator</w:t>
            </w:r>
            <w:r w:rsidRPr="007326AB">
              <w:rPr>
                <w:rStyle w:val="FootnoteReference"/>
                <w:rFonts w:asciiTheme="majorHAnsi" w:hAnsiTheme="majorHAnsi"/>
                <w:b/>
                <w:color w:val="FFFFFF" w:themeColor="background1"/>
              </w:rPr>
              <w:footnoteReference w:id="1"/>
            </w:r>
          </w:p>
        </w:tc>
        <w:tc>
          <w:tcPr>
            <w:tcW w:w="5580" w:type="dxa"/>
            <w:shd w:val="clear" w:color="auto" w:fill="244061" w:themeFill="accent1" w:themeFillShade="80"/>
            <w:vAlign w:val="center"/>
          </w:tcPr>
          <w:p w14:paraId="409C265F" w14:textId="21AA179B" w:rsidR="00920693" w:rsidRPr="007326AB" w:rsidRDefault="00920693"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Action items</w:t>
            </w:r>
            <w:r w:rsidRPr="007326AB">
              <w:rPr>
                <w:rStyle w:val="FootnoteReference"/>
                <w:rFonts w:asciiTheme="majorHAnsi" w:hAnsiTheme="majorHAnsi"/>
                <w:b/>
                <w:color w:val="FFFFFF" w:themeColor="background1"/>
              </w:rPr>
              <w:footnoteReference w:id="2"/>
            </w:r>
          </w:p>
          <w:p w14:paraId="4178E912" w14:textId="163D1465" w:rsidR="00920693" w:rsidRPr="007326AB" w:rsidRDefault="00920693" w:rsidP="004D3521">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and other comment </w:t>
            </w:r>
            <w:r w:rsidR="004D3521">
              <w:rPr>
                <w:rFonts w:asciiTheme="majorHAnsi" w:hAnsiTheme="majorHAnsi"/>
                <w:b/>
                <w:color w:val="FFFFFF" w:themeColor="background1"/>
              </w:rPr>
              <w:t xml:space="preserve">(as of 22 May </w:t>
            </w:r>
            <w:r>
              <w:rPr>
                <w:rFonts w:asciiTheme="majorHAnsi" w:hAnsiTheme="majorHAnsi"/>
                <w:b/>
                <w:color w:val="FFFFFF" w:themeColor="background1"/>
              </w:rPr>
              <w:t>201</w:t>
            </w:r>
            <w:r w:rsidR="004D3521">
              <w:rPr>
                <w:rFonts w:asciiTheme="majorHAnsi" w:hAnsiTheme="majorHAnsi"/>
                <w:b/>
                <w:color w:val="FFFFFF" w:themeColor="background1"/>
              </w:rPr>
              <w:t>9</w:t>
            </w:r>
            <w:r>
              <w:rPr>
                <w:rFonts w:asciiTheme="majorHAnsi" w:hAnsiTheme="majorHAnsi"/>
                <w:b/>
                <w:color w:val="FFFFFF" w:themeColor="background1"/>
              </w:rPr>
              <w:t>)</w:t>
            </w:r>
          </w:p>
        </w:tc>
      </w:tr>
      <w:tr w:rsidR="00D94D52" w:rsidRPr="007326AB" w14:paraId="38D04264" w14:textId="12ADD2C0" w:rsidTr="00D94D52">
        <w:trPr>
          <w:trHeight w:val="2014"/>
        </w:trPr>
        <w:tc>
          <w:tcPr>
            <w:tcW w:w="2181" w:type="dxa"/>
            <w:vMerge w:val="restart"/>
          </w:tcPr>
          <w:p w14:paraId="01BBF26D" w14:textId="77777777" w:rsidR="00D94D52" w:rsidRPr="007326AB" w:rsidRDefault="00D94D52" w:rsidP="007957F4">
            <w:pPr>
              <w:pStyle w:val="Default"/>
              <w:spacing w:before="120"/>
              <w:rPr>
                <w:rFonts w:asciiTheme="majorHAnsi" w:hAnsiTheme="majorHAnsi" w:cs="Times New Roman"/>
                <w:color w:val="auto"/>
                <w:sz w:val="20"/>
                <w:szCs w:val="20"/>
              </w:rPr>
            </w:pPr>
            <w:r w:rsidRPr="007326AB">
              <w:rPr>
                <w:rFonts w:asciiTheme="majorHAnsi" w:hAnsiTheme="majorHAnsi" w:cs="Times New Roman"/>
                <w:color w:val="auto"/>
                <w:sz w:val="20"/>
                <w:szCs w:val="20"/>
              </w:rPr>
              <w:t>Develop and maintain expertise in the various fields of public-sector auditing and help to provide content to the</w:t>
            </w:r>
            <w:bookmarkStart w:id="0" w:name="_GoBack"/>
            <w:bookmarkEnd w:id="0"/>
            <w:r w:rsidRPr="007326AB">
              <w:rPr>
                <w:rFonts w:asciiTheme="majorHAnsi" w:hAnsiTheme="majorHAnsi" w:cs="Times New Roman"/>
                <w:color w:val="auto"/>
                <w:sz w:val="20"/>
                <w:szCs w:val="20"/>
              </w:rPr>
              <w:t xml:space="preserve"> INTOSAI Framework for Professional Pronouncements.</w:t>
            </w:r>
          </w:p>
          <w:p w14:paraId="224FEB6F" w14:textId="77777777" w:rsidR="00D94D52" w:rsidRPr="004F3993" w:rsidRDefault="00D94D52" w:rsidP="007957F4">
            <w:pPr>
              <w:autoSpaceDE w:val="0"/>
              <w:autoSpaceDN w:val="0"/>
              <w:adjustRightInd w:val="0"/>
              <w:spacing w:before="120" w:line="240" w:lineRule="auto"/>
              <w:rPr>
                <w:rFonts w:asciiTheme="majorHAnsi" w:hAnsiTheme="majorHAnsi"/>
              </w:rPr>
            </w:pPr>
          </w:p>
          <w:p w14:paraId="6F07BEC4" w14:textId="77777777" w:rsidR="00D94D52" w:rsidRPr="004F3993" w:rsidRDefault="00D94D52" w:rsidP="007957F4">
            <w:pPr>
              <w:autoSpaceDE w:val="0"/>
              <w:autoSpaceDN w:val="0"/>
              <w:adjustRightInd w:val="0"/>
              <w:spacing w:before="120" w:line="240" w:lineRule="auto"/>
              <w:rPr>
                <w:rFonts w:asciiTheme="majorHAnsi" w:hAnsiTheme="majorHAnsi"/>
              </w:rPr>
            </w:pPr>
          </w:p>
          <w:p w14:paraId="172E53F3" w14:textId="77777777" w:rsidR="00D94D52" w:rsidRPr="007326AB" w:rsidRDefault="00D94D52" w:rsidP="007957F4">
            <w:pPr>
              <w:autoSpaceDE w:val="0"/>
              <w:autoSpaceDN w:val="0"/>
              <w:adjustRightInd w:val="0"/>
              <w:spacing w:before="120" w:line="240" w:lineRule="auto"/>
              <w:rPr>
                <w:rFonts w:asciiTheme="majorHAnsi" w:eastAsia="Calibri" w:hAnsiTheme="majorHAnsi"/>
                <w:spacing w:val="-2"/>
              </w:rPr>
            </w:pPr>
          </w:p>
        </w:tc>
        <w:tc>
          <w:tcPr>
            <w:tcW w:w="5100" w:type="dxa"/>
            <w:vMerge w:val="restart"/>
            <w:shd w:val="clear" w:color="auto" w:fill="auto"/>
          </w:tcPr>
          <w:p w14:paraId="675756BC" w14:textId="0C02F7B2" w:rsidR="00D94D52" w:rsidRPr="007326AB" w:rsidRDefault="00D94D52" w:rsidP="007957F4">
            <w:pPr>
              <w:spacing w:before="120"/>
              <w:rPr>
                <w:rFonts w:asciiTheme="majorHAnsi" w:eastAsia="Calibri" w:hAnsiTheme="majorHAnsi"/>
                <w:spacing w:val="-1"/>
              </w:rPr>
            </w:pPr>
            <w:r w:rsidRPr="003A55C8">
              <w:rPr>
                <w:rFonts w:asciiTheme="majorHAnsi" w:hAnsiTheme="majorHAnsi"/>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3780" w:type="dxa"/>
            <w:shd w:val="clear" w:color="auto" w:fill="auto"/>
          </w:tcPr>
          <w:p w14:paraId="22884429" w14:textId="20C8DEAE" w:rsidR="00D94D52" w:rsidRPr="00537C51" w:rsidRDefault="00D94D52" w:rsidP="007957F4">
            <w:pPr>
              <w:spacing w:before="120"/>
              <w:rPr>
                <w:rFonts w:asciiTheme="majorHAnsi" w:hAnsiTheme="majorHAnsi"/>
                <w:i/>
                <w:u w:val="single"/>
              </w:rPr>
            </w:pPr>
            <w:r>
              <w:rPr>
                <w:rFonts w:asciiTheme="majorHAnsi" w:hAnsiTheme="majorHAnsi"/>
                <w:i/>
                <w:u w:val="single"/>
              </w:rPr>
              <w:t>On c</w:t>
            </w:r>
            <w:r w:rsidRPr="00537C51">
              <w:rPr>
                <w:rFonts w:asciiTheme="majorHAnsi" w:hAnsiTheme="majorHAnsi"/>
                <w:i/>
                <w:u w:val="single"/>
              </w:rPr>
              <w:t>onsolidation and alignment of public debt ISSAIs with ISSAI 100 (Project 2.9)</w:t>
            </w:r>
          </w:p>
          <w:p w14:paraId="60AB9E47" w14:textId="77777777" w:rsidR="00D94D52" w:rsidRPr="00633A52" w:rsidRDefault="00D94D52" w:rsidP="007957F4">
            <w:pPr>
              <w:pStyle w:val="ListParagraph"/>
              <w:spacing w:before="120"/>
              <w:ind w:left="245"/>
              <w:rPr>
                <w:rFonts w:asciiTheme="majorHAnsi" w:hAnsiTheme="majorHAnsi"/>
              </w:rPr>
            </w:pPr>
          </w:p>
          <w:p w14:paraId="0B6A99EC" w14:textId="2E186995" w:rsidR="00D94D52" w:rsidRPr="00C417CB" w:rsidRDefault="00D94D52" w:rsidP="00993CEF">
            <w:pPr>
              <w:pStyle w:val="ListParagraph"/>
              <w:numPr>
                <w:ilvl w:val="0"/>
                <w:numId w:val="26"/>
              </w:numPr>
              <w:shd w:val="clear" w:color="auto" w:fill="92D050"/>
              <w:spacing w:before="120" w:after="200" w:line="276" w:lineRule="auto"/>
              <w:ind w:left="245" w:hanging="245"/>
              <w:rPr>
                <w:rFonts w:asciiTheme="majorHAnsi" w:hAnsiTheme="majorHAnsi"/>
              </w:rPr>
            </w:pPr>
            <w:r w:rsidRPr="004362FD">
              <w:rPr>
                <w:rFonts w:asciiTheme="majorHAnsi" w:hAnsiTheme="majorHAnsi"/>
              </w:rPr>
              <w:t>Draft consolidated GUID including Appendices incorporating the comments of FAAS/CAS/PAS</w:t>
            </w:r>
            <w:r w:rsidRPr="004362FD" w:rsidDel="00744B8F">
              <w:rPr>
                <w:rFonts w:asciiTheme="majorHAnsi" w:hAnsiTheme="majorHAnsi"/>
              </w:rPr>
              <w:t xml:space="preserve"> </w:t>
            </w:r>
          </w:p>
          <w:p w14:paraId="6E481C55" w14:textId="77777777" w:rsidR="00D94D52" w:rsidRPr="00C417CB" w:rsidRDefault="00D94D52" w:rsidP="00993CEF">
            <w:pPr>
              <w:pStyle w:val="ListParagraph"/>
              <w:spacing w:before="120" w:after="200" w:line="276" w:lineRule="auto"/>
              <w:ind w:left="245"/>
              <w:rPr>
                <w:rFonts w:asciiTheme="majorHAnsi" w:hAnsiTheme="majorHAnsi"/>
              </w:rPr>
            </w:pPr>
          </w:p>
          <w:p w14:paraId="0D0A26D0" w14:textId="66F2A792" w:rsidR="00D94D52" w:rsidRPr="00C417CB" w:rsidRDefault="00D94D52" w:rsidP="00993CEF">
            <w:pPr>
              <w:pStyle w:val="ListParagraph"/>
              <w:numPr>
                <w:ilvl w:val="0"/>
                <w:numId w:val="26"/>
              </w:numPr>
              <w:shd w:val="clear" w:color="auto" w:fill="92D050"/>
              <w:spacing w:before="120" w:after="200" w:line="276" w:lineRule="auto"/>
              <w:ind w:left="245" w:hanging="245"/>
              <w:rPr>
                <w:rFonts w:asciiTheme="majorHAnsi" w:hAnsiTheme="majorHAnsi"/>
                <w:shd w:val="clear" w:color="auto" w:fill="92D050"/>
              </w:rPr>
            </w:pPr>
            <w:r w:rsidRPr="004362FD">
              <w:rPr>
                <w:rFonts w:asciiTheme="majorHAnsi" w:hAnsiTheme="majorHAnsi"/>
              </w:rPr>
              <w:t xml:space="preserve">Draft consolidated GUID submitted to FIPP </w:t>
            </w:r>
            <w:r w:rsidR="00F92016">
              <w:rPr>
                <w:rFonts w:asciiTheme="majorHAnsi" w:hAnsiTheme="majorHAnsi"/>
              </w:rPr>
              <w:t xml:space="preserve">thru the KSC </w:t>
            </w:r>
            <w:r w:rsidRPr="004362FD">
              <w:rPr>
                <w:rFonts w:asciiTheme="majorHAnsi" w:hAnsiTheme="majorHAnsi"/>
              </w:rPr>
              <w:t>for exposure</w:t>
            </w:r>
          </w:p>
          <w:p w14:paraId="7C8F8C32" w14:textId="77777777" w:rsidR="00D94D52" w:rsidRDefault="00D94D52" w:rsidP="00923CBB">
            <w:pPr>
              <w:spacing w:before="120"/>
              <w:rPr>
                <w:rFonts w:asciiTheme="majorHAnsi" w:eastAsiaTheme="minorHAnsi" w:hAnsiTheme="majorHAnsi" w:cstheme="minorBidi"/>
                <w:sz w:val="22"/>
                <w:szCs w:val="22"/>
                <w:lang w:val="en-ZA"/>
              </w:rPr>
            </w:pPr>
          </w:p>
          <w:p w14:paraId="195522D5" w14:textId="77777777" w:rsidR="00D94D52" w:rsidRPr="00923CBB" w:rsidRDefault="00D94D52" w:rsidP="00923CBB">
            <w:pPr>
              <w:spacing w:before="120"/>
              <w:rPr>
                <w:rFonts w:asciiTheme="majorHAnsi" w:hAnsiTheme="majorHAnsi"/>
              </w:rPr>
            </w:pPr>
          </w:p>
          <w:p w14:paraId="2F45B425" w14:textId="77777777" w:rsidR="00D94D52" w:rsidRPr="00537C51" w:rsidRDefault="00D94D52" w:rsidP="007957F4">
            <w:pPr>
              <w:pStyle w:val="ListParagraph"/>
              <w:spacing w:before="120"/>
              <w:ind w:left="245"/>
              <w:rPr>
                <w:rFonts w:asciiTheme="majorHAnsi" w:hAnsiTheme="majorHAnsi"/>
              </w:rPr>
            </w:pPr>
          </w:p>
          <w:p w14:paraId="48F66321" w14:textId="77777777" w:rsidR="00D94D52" w:rsidRPr="00802F6B" w:rsidRDefault="00D94D52" w:rsidP="007957F4">
            <w:pPr>
              <w:pStyle w:val="ListParagraph"/>
              <w:spacing w:before="120"/>
              <w:ind w:left="245"/>
              <w:rPr>
                <w:rFonts w:asciiTheme="majorHAnsi" w:hAnsiTheme="majorHAnsi"/>
              </w:rPr>
            </w:pPr>
          </w:p>
          <w:p w14:paraId="732ED1E9" w14:textId="77777777" w:rsidR="00D94D52" w:rsidRPr="00802F6B" w:rsidRDefault="00D94D52" w:rsidP="007957F4">
            <w:pPr>
              <w:pStyle w:val="ListParagraph"/>
              <w:spacing w:before="120"/>
              <w:ind w:left="245"/>
              <w:rPr>
                <w:rFonts w:asciiTheme="majorHAnsi" w:hAnsiTheme="majorHAnsi"/>
              </w:rPr>
            </w:pPr>
          </w:p>
          <w:p w14:paraId="1CA752C0" w14:textId="7ABC4B36" w:rsidR="00D94D52" w:rsidRPr="00C77D76" w:rsidRDefault="00D94D52" w:rsidP="007957F4">
            <w:pPr>
              <w:pStyle w:val="ListParagraph"/>
              <w:spacing w:before="120"/>
              <w:ind w:left="245"/>
              <w:rPr>
                <w:rFonts w:asciiTheme="majorHAnsi" w:hAnsiTheme="majorHAnsi"/>
              </w:rPr>
            </w:pPr>
          </w:p>
        </w:tc>
        <w:tc>
          <w:tcPr>
            <w:tcW w:w="5580" w:type="dxa"/>
            <w:shd w:val="clear" w:color="auto" w:fill="FFFFFF" w:themeFill="background1"/>
            <w:vAlign w:val="center"/>
          </w:tcPr>
          <w:p w14:paraId="5F64024B" w14:textId="77777777" w:rsidR="00D94D52" w:rsidRPr="006F30DC" w:rsidRDefault="00D94D52" w:rsidP="00F973DD">
            <w:pPr>
              <w:spacing w:before="120" w:line="240" w:lineRule="auto"/>
              <w:jc w:val="both"/>
              <w:rPr>
                <w:rFonts w:asciiTheme="majorHAnsi" w:hAnsiTheme="majorHAnsi"/>
                <w:i/>
                <w:u w:val="single"/>
                <w:lang w:val="en-PH"/>
              </w:rPr>
            </w:pPr>
            <w:r w:rsidRPr="006F30DC">
              <w:rPr>
                <w:rFonts w:asciiTheme="majorHAnsi" w:hAnsiTheme="majorHAnsi"/>
                <w:i/>
                <w:u w:val="single"/>
                <w:lang w:val="en-PH"/>
              </w:rPr>
              <w:t>Progress to date</w:t>
            </w:r>
          </w:p>
          <w:p w14:paraId="1AB8CEB1" w14:textId="77777777" w:rsidR="00D94D52" w:rsidRPr="00FD5B72" w:rsidRDefault="00D94D52" w:rsidP="00F973DD">
            <w:pPr>
              <w:pStyle w:val="ListParagraph"/>
              <w:numPr>
                <w:ilvl w:val="0"/>
                <w:numId w:val="36"/>
              </w:numPr>
              <w:spacing w:line="240" w:lineRule="auto"/>
              <w:ind w:left="335"/>
              <w:jc w:val="both"/>
              <w:rPr>
                <w:rFonts w:asciiTheme="majorHAnsi" w:hAnsiTheme="majorHAnsi"/>
                <w:lang w:val="en-PH"/>
              </w:rPr>
            </w:pPr>
            <w:r>
              <w:rPr>
                <w:rFonts w:asciiTheme="majorHAnsi" w:hAnsiTheme="majorHAnsi"/>
                <w:lang w:val="en-PH"/>
              </w:rPr>
              <w:t>On the Consolidated Draft GUID</w:t>
            </w:r>
            <w:r w:rsidRPr="00FD5B72">
              <w:rPr>
                <w:rFonts w:asciiTheme="majorHAnsi" w:hAnsiTheme="majorHAnsi"/>
                <w:lang w:val="en-PH"/>
              </w:rPr>
              <w:t>:</w:t>
            </w:r>
          </w:p>
          <w:p w14:paraId="3EDE0ECE" w14:textId="39BE32BA" w:rsidR="00D94D52" w:rsidRDefault="00D94D52" w:rsidP="00F973DD">
            <w:pPr>
              <w:pStyle w:val="ListParagraph"/>
              <w:numPr>
                <w:ilvl w:val="0"/>
                <w:numId w:val="34"/>
              </w:numPr>
              <w:spacing w:line="240" w:lineRule="auto"/>
              <w:ind w:left="695"/>
              <w:jc w:val="both"/>
              <w:rPr>
                <w:rFonts w:asciiTheme="majorHAnsi" w:hAnsiTheme="majorHAnsi"/>
                <w:lang w:val="en-PH"/>
              </w:rPr>
            </w:pPr>
            <w:r>
              <w:rPr>
                <w:rFonts w:asciiTheme="majorHAnsi" w:hAnsiTheme="majorHAnsi"/>
                <w:lang w:val="en-PH"/>
              </w:rPr>
              <w:t xml:space="preserve">The complete package of the draft GUID was submitted to the FIPP, thru the KSC, on 27 March 2019 for review and approval for exposure. </w:t>
            </w:r>
          </w:p>
          <w:p w14:paraId="67EAB8A5" w14:textId="4F12241A" w:rsidR="00D94D52" w:rsidRDefault="00D94D52" w:rsidP="00F973DD">
            <w:pPr>
              <w:pStyle w:val="ListParagraph"/>
              <w:numPr>
                <w:ilvl w:val="0"/>
                <w:numId w:val="34"/>
              </w:numPr>
              <w:spacing w:line="240" w:lineRule="auto"/>
              <w:ind w:left="695"/>
              <w:jc w:val="both"/>
              <w:rPr>
                <w:rFonts w:asciiTheme="majorHAnsi" w:hAnsiTheme="majorHAnsi"/>
                <w:lang w:val="en-PH"/>
              </w:rPr>
            </w:pPr>
            <w:r>
              <w:rPr>
                <w:rFonts w:asciiTheme="majorHAnsi" w:hAnsiTheme="majorHAnsi"/>
                <w:lang w:val="en-PH"/>
              </w:rPr>
              <w:t>On 12 May 2019, FIPP conditionally approved the draft GUID with some minor comments.</w:t>
            </w:r>
          </w:p>
          <w:p w14:paraId="05FFE486" w14:textId="1FDFDF2E" w:rsidR="00D94D52" w:rsidRPr="00D04CC5" w:rsidRDefault="00D94D52" w:rsidP="00F973DD">
            <w:pPr>
              <w:pStyle w:val="ListParagraph"/>
              <w:numPr>
                <w:ilvl w:val="0"/>
                <w:numId w:val="34"/>
              </w:numPr>
              <w:spacing w:line="240" w:lineRule="auto"/>
              <w:ind w:left="695"/>
              <w:jc w:val="both"/>
              <w:rPr>
                <w:rFonts w:asciiTheme="majorHAnsi" w:hAnsiTheme="majorHAnsi"/>
                <w:lang w:val="en-PH"/>
              </w:rPr>
            </w:pPr>
            <w:r w:rsidRPr="00D04CC5">
              <w:rPr>
                <w:rFonts w:asciiTheme="majorHAnsi" w:hAnsiTheme="majorHAnsi"/>
                <w:lang w:val="en-PH"/>
              </w:rPr>
              <w:t xml:space="preserve">As of 22 May 2019, the draft GUID 5250 together with the Explanatory Memorandum, Disposition Table and Matrix of Comments template </w:t>
            </w:r>
            <w:r>
              <w:rPr>
                <w:rFonts w:asciiTheme="majorHAnsi" w:hAnsiTheme="majorHAnsi"/>
                <w:lang w:val="en-PH"/>
              </w:rPr>
              <w:t xml:space="preserve">has been transmitted to the PSC for posting </w:t>
            </w:r>
            <w:r w:rsidRPr="00D04CC5">
              <w:rPr>
                <w:rFonts w:asciiTheme="majorHAnsi" w:hAnsiTheme="majorHAnsi"/>
                <w:lang w:val="en-PH"/>
              </w:rPr>
              <w:t xml:space="preserve">at the </w:t>
            </w:r>
            <w:hyperlink r:id="rId8" w:history="1">
              <w:r w:rsidRPr="00D04CC5">
                <w:rPr>
                  <w:rStyle w:val="Hyperlink"/>
                  <w:rFonts w:asciiTheme="majorHAnsi" w:hAnsiTheme="majorHAnsi"/>
                  <w:lang w:val="en-PH"/>
                </w:rPr>
                <w:t>www.issai.org</w:t>
              </w:r>
            </w:hyperlink>
            <w:r w:rsidRPr="00D04CC5">
              <w:rPr>
                <w:rFonts w:asciiTheme="majorHAnsi" w:hAnsiTheme="majorHAnsi"/>
                <w:lang w:val="en-PH"/>
              </w:rPr>
              <w:t xml:space="preserve"> with exposure period of 90 days from 22 May 2019 up to 21 August 2019.</w:t>
            </w:r>
          </w:p>
          <w:p w14:paraId="42A980BF" w14:textId="77777777" w:rsidR="00D94D52" w:rsidRPr="002A3B9C" w:rsidRDefault="00D94D52" w:rsidP="00F973DD">
            <w:pPr>
              <w:spacing w:line="240" w:lineRule="auto"/>
              <w:jc w:val="both"/>
              <w:rPr>
                <w:rFonts w:asciiTheme="majorHAnsi" w:hAnsiTheme="majorHAnsi"/>
                <w:lang w:val="en-PH"/>
              </w:rPr>
            </w:pPr>
          </w:p>
          <w:p w14:paraId="1BC05719" w14:textId="77777777" w:rsidR="00D94D52" w:rsidRDefault="00D94D52" w:rsidP="00F973DD">
            <w:pPr>
              <w:spacing w:line="240" w:lineRule="auto"/>
              <w:rPr>
                <w:rFonts w:asciiTheme="majorHAnsi" w:hAnsiTheme="majorHAnsi"/>
                <w:i/>
                <w:u w:val="single"/>
                <w:lang w:val="en-PH"/>
              </w:rPr>
            </w:pPr>
            <w:r>
              <w:rPr>
                <w:rFonts w:asciiTheme="majorHAnsi" w:hAnsiTheme="majorHAnsi"/>
                <w:i/>
                <w:u w:val="single"/>
                <w:lang w:val="en-PH"/>
              </w:rPr>
              <w:t>Action items / key next items</w:t>
            </w:r>
          </w:p>
          <w:p w14:paraId="3CDA1EF1" w14:textId="77777777" w:rsidR="00D94D52" w:rsidRPr="002A3B9C" w:rsidRDefault="00D94D52" w:rsidP="00F973DD">
            <w:pPr>
              <w:spacing w:line="240" w:lineRule="auto"/>
              <w:rPr>
                <w:rFonts w:asciiTheme="majorHAnsi" w:hAnsiTheme="majorHAnsi"/>
                <w:lang w:val="en-PH"/>
              </w:rPr>
            </w:pPr>
          </w:p>
          <w:p w14:paraId="364F96A5" w14:textId="3E5BCC3F" w:rsidR="00D94D52" w:rsidRDefault="00D94D52" w:rsidP="00BD6278">
            <w:pPr>
              <w:pStyle w:val="ListParagraph"/>
              <w:numPr>
                <w:ilvl w:val="0"/>
                <w:numId w:val="40"/>
              </w:numPr>
              <w:spacing w:after="120" w:line="240" w:lineRule="auto"/>
              <w:ind w:left="374"/>
              <w:jc w:val="both"/>
              <w:rPr>
                <w:rFonts w:asciiTheme="majorHAnsi" w:hAnsiTheme="majorHAnsi"/>
                <w:lang w:val="en-PH"/>
              </w:rPr>
            </w:pPr>
            <w:r w:rsidRPr="00977C62">
              <w:rPr>
                <w:rFonts w:asciiTheme="majorHAnsi" w:hAnsiTheme="majorHAnsi"/>
                <w:lang w:val="en-PH"/>
              </w:rPr>
              <w:t xml:space="preserve">TOR for Project 2.9 shall be updated to include </w:t>
            </w:r>
            <w:r>
              <w:rPr>
                <w:rFonts w:asciiTheme="majorHAnsi" w:hAnsiTheme="majorHAnsi"/>
                <w:lang w:val="en-PH"/>
              </w:rPr>
              <w:t>the responsibilities of the P</w:t>
            </w:r>
            <w:r w:rsidRPr="00977C62">
              <w:rPr>
                <w:rFonts w:asciiTheme="majorHAnsi" w:hAnsiTheme="majorHAnsi"/>
                <w:lang w:val="en-PH"/>
              </w:rPr>
              <w:t xml:space="preserve">roject </w:t>
            </w:r>
            <w:r>
              <w:rPr>
                <w:rFonts w:asciiTheme="majorHAnsi" w:hAnsiTheme="majorHAnsi"/>
                <w:lang w:val="en-PH"/>
              </w:rPr>
              <w:t>G</w:t>
            </w:r>
            <w:r w:rsidRPr="00977C62">
              <w:rPr>
                <w:rFonts w:asciiTheme="majorHAnsi" w:hAnsiTheme="majorHAnsi"/>
                <w:lang w:val="en-PH"/>
              </w:rPr>
              <w:t xml:space="preserve">roup </w:t>
            </w:r>
            <w:r>
              <w:rPr>
                <w:rFonts w:asciiTheme="majorHAnsi" w:hAnsiTheme="majorHAnsi"/>
                <w:lang w:val="en-PH"/>
              </w:rPr>
              <w:t>from the</w:t>
            </w:r>
            <w:r w:rsidRPr="00977C62">
              <w:rPr>
                <w:rFonts w:asciiTheme="majorHAnsi" w:hAnsiTheme="majorHAnsi"/>
                <w:lang w:val="en-PH"/>
              </w:rPr>
              <w:t xml:space="preserve"> exposure period </w:t>
            </w:r>
            <w:r>
              <w:rPr>
                <w:rFonts w:asciiTheme="majorHAnsi" w:hAnsiTheme="majorHAnsi"/>
                <w:lang w:val="en-PH"/>
              </w:rPr>
              <w:t xml:space="preserve">up </w:t>
            </w:r>
            <w:r w:rsidRPr="00977C62">
              <w:rPr>
                <w:rFonts w:asciiTheme="majorHAnsi" w:hAnsiTheme="majorHAnsi"/>
                <w:lang w:val="en-PH"/>
              </w:rPr>
              <w:t>to</w:t>
            </w:r>
            <w:r>
              <w:rPr>
                <w:rFonts w:asciiTheme="majorHAnsi" w:hAnsiTheme="majorHAnsi"/>
                <w:lang w:val="en-PH"/>
              </w:rPr>
              <w:t xml:space="preserve"> the</w:t>
            </w:r>
            <w:r w:rsidRPr="00977C62">
              <w:rPr>
                <w:rFonts w:asciiTheme="majorHAnsi" w:hAnsiTheme="majorHAnsi"/>
                <w:lang w:val="en-PH"/>
              </w:rPr>
              <w:t xml:space="preserve"> submission of endorsement version and translation </w:t>
            </w:r>
            <w:r>
              <w:rPr>
                <w:rFonts w:asciiTheme="majorHAnsi" w:hAnsiTheme="majorHAnsi"/>
                <w:lang w:val="en-PH"/>
              </w:rPr>
              <w:t xml:space="preserve">of the GUID </w:t>
            </w:r>
            <w:r w:rsidRPr="00977C62">
              <w:rPr>
                <w:rFonts w:asciiTheme="majorHAnsi" w:hAnsiTheme="majorHAnsi"/>
                <w:lang w:val="en-PH"/>
              </w:rPr>
              <w:t>in five official languages</w:t>
            </w:r>
            <w:r>
              <w:rPr>
                <w:rFonts w:asciiTheme="majorHAnsi" w:hAnsiTheme="majorHAnsi"/>
                <w:lang w:val="en-PH"/>
              </w:rPr>
              <w:t>;</w:t>
            </w:r>
          </w:p>
          <w:p w14:paraId="45051D1F" w14:textId="3EAF5FF7" w:rsidR="00D94D52" w:rsidRDefault="00D94D52" w:rsidP="00BD6278">
            <w:pPr>
              <w:pStyle w:val="ListParagraph"/>
              <w:numPr>
                <w:ilvl w:val="0"/>
                <w:numId w:val="40"/>
              </w:numPr>
              <w:spacing w:after="120" w:line="240" w:lineRule="auto"/>
              <w:ind w:left="374"/>
              <w:jc w:val="both"/>
              <w:rPr>
                <w:rFonts w:asciiTheme="majorHAnsi" w:hAnsiTheme="majorHAnsi"/>
                <w:lang w:val="en-PH"/>
              </w:rPr>
            </w:pPr>
            <w:r>
              <w:rPr>
                <w:rFonts w:asciiTheme="majorHAnsi" w:hAnsiTheme="majorHAnsi"/>
                <w:lang w:val="en-PH"/>
              </w:rPr>
              <w:t>Announcement on the posting of the GUID 5250 at</w:t>
            </w:r>
            <w:r w:rsidRPr="00977C62">
              <w:rPr>
                <w:rFonts w:asciiTheme="majorHAnsi" w:hAnsiTheme="majorHAnsi"/>
                <w:lang w:val="en-PH"/>
              </w:rPr>
              <w:t xml:space="preserve"> the issai.org </w:t>
            </w:r>
            <w:r>
              <w:rPr>
                <w:rFonts w:asciiTheme="majorHAnsi" w:hAnsiTheme="majorHAnsi"/>
                <w:lang w:val="en-PH"/>
              </w:rPr>
              <w:t>website for 90 days exposure shall be requested by the WGPD Secretariat from</w:t>
            </w:r>
            <w:r w:rsidRPr="00977C62">
              <w:rPr>
                <w:rFonts w:asciiTheme="majorHAnsi" w:hAnsiTheme="majorHAnsi"/>
                <w:lang w:val="en-PH"/>
              </w:rPr>
              <w:t xml:space="preserve"> the INTOSAI Journal and </w:t>
            </w:r>
            <w:r>
              <w:rPr>
                <w:rFonts w:asciiTheme="majorHAnsi" w:hAnsiTheme="majorHAnsi"/>
                <w:lang w:val="en-PH"/>
              </w:rPr>
              <w:lastRenderedPageBreak/>
              <w:t>Regional O</w:t>
            </w:r>
            <w:r w:rsidRPr="00977C62">
              <w:rPr>
                <w:rFonts w:asciiTheme="majorHAnsi" w:hAnsiTheme="majorHAnsi"/>
                <w:lang w:val="en-PH"/>
              </w:rPr>
              <w:t xml:space="preserve">rganization ‘s Secretariats and the </w:t>
            </w:r>
            <w:r>
              <w:rPr>
                <w:rFonts w:asciiTheme="majorHAnsi" w:hAnsiTheme="majorHAnsi"/>
                <w:lang w:val="en-PH"/>
              </w:rPr>
              <w:t xml:space="preserve">INTOSAI Community Portal </w:t>
            </w:r>
            <w:r w:rsidRPr="00977C62">
              <w:rPr>
                <w:rFonts w:asciiTheme="majorHAnsi" w:hAnsiTheme="majorHAnsi"/>
                <w:lang w:val="en-PH"/>
              </w:rPr>
              <w:t>WGPD website</w:t>
            </w:r>
            <w:r>
              <w:rPr>
                <w:rFonts w:asciiTheme="majorHAnsi" w:hAnsiTheme="majorHAnsi"/>
                <w:lang w:val="en-PH"/>
              </w:rPr>
              <w:t>;</w:t>
            </w:r>
          </w:p>
          <w:p w14:paraId="5A662489" w14:textId="49A01D85" w:rsidR="00D94D52" w:rsidRDefault="00D94D52" w:rsidP="00BD6278">
            <w:pPr>
              <w:pStyle w:val="ListParagraph"/>
              <w:numPr>
                <w:ilvl w:val="0"/>
                <w:numId w:val="40"/>
              </w:numPr>
              <w:spacing w:after="120" w:line="240" w:lineRule="auto"/>
              <w:ind w:left="374"/>
              <w:jc w:val="both"/>
              <w:rPr>
                <w:rFonts w:asciiTheme="majorHAnsi" w:hAnsiTheme="majorHAnsi"/>
                <w:lang w:val="en-PH"/>
              </w:rPr>
            </w:pPr>
            <w:r w:rsidRPr="00977C62">
              <w:rPr>
                <w:rFonts w:asciiTheme="majorHAnsi" w:hAnsiTheme="majorHAnsi"/>
                <w:lang w:val="en-PH"/>
              </w:rPr>
              <w:t xml:space="preserve">ISSAIs </w:t>
            </w:r>
            <w:r>
              <w:rPr>
                <w:rFonts w:asciiTheme="majorHAnsi" w:hAnsiTheme="majorHAnsi"/>
                <w:lang w:val="en-PH"/>
              </w:rPr>
              <w:t xml:space="preserve">related to public debt </w:t>
            </w:r>
            <w:r w:rsidRPr="00977C62">
              <w:rPr>
                <w:rFonts w:asciiTheme="majorHAnsi" w:hAnsiTheme="majorHAnsi"/>
                <w:lang w:val="en-PH"/>
              </w:rPr>
              <w:t>which</w:t>
            </w:r>
            <w:r>
              <w:rPr>
                <w:rFonts w:asciiTheme="majorHAnsi" w:hAnsiTheme="majorHAnsi"/>
                <w:lang w:val="en-PH"/>
              </w:rPr>
              <w:t xml:space="preserve"> were</w:t>
            </w:r>
            <w:r w:rsidRPr="00977C62">
              <w:rPr>
                <w:rFonts w:asciiTheme="majorHAnsi" w:hAnsiTheme="majorHAnsi"/>
                <w:lang w:val="en-PH"/>
              </w:rPr>
              <w:t xml:space="preserve"> </w:t>
            </w:r>
            <w:r>
              <w:rPr>
                <w:rFonts w:asciiTheme="majorHAnsi" w:hAnsiTheme="majorHAnsi"/>
                <w:lang w:val="en-PH"/>
              </w:rPr>
              <w:t xml:space="preserve">not considered in the draft GUID </w:t>
            </w:r>
            <w:r w:rsidRPr="00977C62">
              <w:rPr>
                <w:rFonts w:asciiTheme="majorHAnsi" w:hAnsiTheme="majorHAnsi"/>
                <w:lang w:val="en-PH"/>
              </w:rPr>
              <w:t>5250</w:t>
            </w:r>
            <w:r>
              <w:rPr>
                <w:rFonts w:asciiTheme="majorHAnsi" w:hAnsiTheme="majorHAnsi"/>
                <w:lang w:val="en-PH"/>
              </w:rPr>
              <w:t xml:space="preserve"> but </w:t>
            </w:r>
            <w:r w:rsidRPr="00977C62">
              <w:rPr>
                <w:rFonts w:asciiTheme="majorHAnsi" w:hAnsiTheme="majorHAnsi"/>
                <w:lang w:val="en-PH"/>
              </w:rPr>
              <w:t>are still useful and relevant</w:t>
            </w:r>
            <w:r>
              <w:rPr>
                <w:rFonts w:asciiTheme="majorHAnsi" w:hAnsiTheme="majorHAnsi"/>
                <w:lang w:val="en-PH"/>
              </w:rPr>
              <w:t xml:space="preserve"> shall be subject to mapping for possible development of related guidance materials in future; and</w:t>
            </w:r>
          </w:p>
          <w:p w14:paraId="1F6D2279" w14:textId="6AE25266" w:rsidR="00D94D52" w:rsidRPr="00D94D52" w:rsidRDefault="00D94D52" w:rsidP="00D94D52">
            <w:pPr>
              <w:pStyle w:val="ListParagraph"/>
              <w:numPr>
                <w:ilvl w:val="0"/>
                <w:numId w:val="40"/>
              </w:numPr>
              <w:spacing w:after="120" w:line="240" w:lineRule="auto"/>
              <w:ind w:left="374"/>
              <w:jc w:val="both"/>
              <w:rPr>
                <w:rFonts w:asciiTheme="majorHAnsi" w:hAnsiTheme="majorHAnsi"/>
                <w:lang w:val="en-PH"/>
              </w:rPr>
            </w:pPr>
            <w:r>
              <w:rPr>
                <w:rFonts w:asciiTheme="majorHAnsi" w:hAnsiTheme="majorHAnsi"/>
                <w:lang w:val="en-PH"/>
              </w:rPr>
              <w:t>The proposal on the w</w:t>
            </w:r>
            <w:r w:rsidRPr="00977C62">
              <w:rPr>
                <w:rFonts w:asciiTheme="majorHAnsi" w:hAnsiTheme="majorHAnsi"/>
                <w:lang w:val="en-PH"/>
              </w:rPr>
              <w:t xml:space="preserve">ithdrawal of </w:t>
            </w:r>
            <w:r>
              <w:rPr>
                <w:rFonts w:asciiTheme="majorHAnsi" w:hAnsiTheme="majorHAnsi"/>
                <w:lang w:val="en-PH"/>
              </w:rPr>
              <w:t>ISSAIs on public debt which were considered in the GUID 5250 shall be prepared.</w:t>
            </w:r>
          </w:p>
        </w:tc>
      </w:tr>
      <w:tr w:rsidR="00D94D52" w:rsidRPr="007326AB" w14:paraId="3058415E" w14:textId="77777777" w:rsidTr="00920693">
        <w:tblPrEx>
          <w:tblCellMar>
            <w:left w:w="108" w:type="dxa"/>
            <w:right w:w="108" w:type="dxa"/>
          </w:tblCellMar>
        </w:tblPrEx>
        <w:trPr>
          <w:trHeight w:val="1435"/>
        </w:trPr>
        <w:tc>
          <w:tcPr>
            <w:tcW w:w="2181" w:type="dxa"/>
            <w:vMerge/>
          </w:tcPr>
          <w:p w14:paraId="09F1837D" w14:textId="77777777" w:rsidR="00D94D52" w:rsidRPr="007326AB" w:rsidRDefault="00D94D52" w:rsidP="00D56D2D">
            <w:pPr>
              <w:rPr>
                <w:rFonts w:asciiTheme="majorHAnsi" w:hAnsiTheme="majorHAnsi"/>
              </w:rPr>
            </w:pPr>
          </w:p>
        </w:tc>
        <w:tc>
          <w:tcPr>
            <w:tcW w:w="5100" w:type="dxa"/>
            <w:vMerge/>
          </w:tcPr>
          <w:p w14:paraId="114E17B9" w14:textId="77777777" w:rsidR="00D94D52" w:rsidRPr="00B64554" w:rsidRDefault="00D94D52" w:rsidP="007957F4">
            <w:pPr>
              <w:autoSpaceDE w:val="0"/>
              <w:autoSpaceDN w:val="0"/>
              <w:adjustRightInd w:val="0"/>
              <w:spacing w:before="120" w:line="240" w:lineRule="auto"/>
              <w:jc w:val="both"/>
              <w:rPr>
                <w:rFonts w:asciiTheme="majorHAnsi" w:hAnsiTheme="majorHAnsi"/>
              </w:rPr>
            </w:pPr>
          </w:p>
        </w:tc>
        <w:tc>
          <w:tcPr>
            <w:tcW w:w="3780" w:type="dxa"/>
          </w:tcPr>
          <w:p w14:paraId="7BF0C85B" w14:textId="7664AC3F" w:rsidR="00D94D52" w:rsidRPr="00F92016" w:rsidRDefault="00D94D52" w:rsidP="00F92016">
            <w:pPr>
              <w:pStyle w:val="ListParagraph"/>
              <w:numPr>
                <w:ilvl w:val="0"/>
                <w:numId w:val="44"/>
              </w:numPr>
              <w:spacing w:before="120"/>
              <w:ind w:left="360"/>
              <w:rPr>
                <w:rFonts w:asciiTheme="majorHAnsi" w:hAnsiTheme="majorHAnsi"/>
              </w:rPr>
            </w:pPr>
            <w:r w:rsidRPr="00F92016">
              <w:rPr>
                <w:rFonts w:asciiTheme="majorHAnsi" w:hAnsiTheme="majorHAnsi"/>
              </w:rPr>
              <w:t>Concept Notes drafted and circulated to WGPD members for comment</w:t>
            </w:r>
          </w:p>
        </w:tc>
        <w:tc>
          <w:tcPr>
            <w:tcW w:w="5580" w:type="dxa"/>
          </w:tcPr>
          <w:p w14:paraId="1D8C6955" w14:textId="08BCABF2" w:rsidR="00D94D52" w:rsidRDefault="00D94D52" w:rsidP="00D94D52">
            <w:pPr>
              <w:spacing w:before="120" w:after="120" w:line="240" w:lineRule="auto"/>
              <w:jc w:val="both"/>
              <w:rPr>
                <w:rFonts w:asciiTheme="majorHAnsi" w:hAnsiTheme="majorHAnsi"/>
                <w:i/>
                <w:u w:val="single"/>
                <w:lang w:val="en-PH"/>
              </w:rPr>
            </w:pPr>
            <w:r>
              <w:rPr>
                <w:rFonts w:asciiTheme="majorHAnsi" w:hAnsiTheme="majorHAnsi"/>
                <w:i/>
                <w:u w:val="single"/>
                <w:lang w:val="en-PH"/>
              </w:rPr>
              <w:t>Progress to date:</w:t>
            </w:r>
          </w:p>
          <w:p w14:paraId="7033F947" w14:textId="704F554E" w:rsidR="00D94D52" w:rsidRDefault="00D94D52" w:rsidP="00D94D52">
            <w:pPr>
              <w:pStyle w:val="ListParagraph"/>
              <w:numPr>
                <w:ilvl w:val="0"/>
                <w:numId w:val="43"/>
              </w:numPr>
              <w:spacing w:after="120" w:line="240" w:lineRule="auto"/>
              <w:ind w:left="360"/>
              <w:jc w:val="both"/>
              <w:rPr>
                <w:rFonts w:asciiTheme="majorHAnsi" w:hAnsiTheme="majorHAnsi"/>
                <w:lang w:val="en-PH"/>
              </w:rPr>
            </w:pPr>
            <w:r>
              <w:rPr>
                <w:rFonts w:asciiTheme="majorHAnsi" w:hAnsiTheme="majorHAnsi"/>
                <w:lang w:val="en-PH"/>
              </w:rPr>
              <w:t>Development of two guidance materials, namely (i) Guidelines on the Audit of Government Guarantees, and (ii) Guidance Materials for Public Debt Auditors on Debt Authorization and Contracting,</w:t>
            </w:r>
            <w:r w:rsidRPr="0065610C">
              <w:rPr>
                <w:rFonts w:asciiTheme="majorHAnsi" w:hAnsiTheme="majorHAnsi"/>
                <w:lang w:val="en-PH"/>
              </w:rPr>
              <w:t xml:space="preserve"> are projected to be unde</w:t>
            </w:r>
            <w:r w:rsidR="00F92016">
              <w:rPr>
                <w:rFonts w:asciiTheme="majorHAnsi" w:hAnsiTheme="majorHAnsi"/>
                <w:lang w:val="en-PH"/>
              </w:rPr>
              <w:t>rtaken for the next three years per WGPD Workplan 2020-2022;</w:t>
            </w:r>
          </w:p>
          <w:p w14:paraId="5F433515" w14:textId="3A8E2456" w:rsidR="00D94D52" w:rsidRPr="006F30DC" w:rsidRDefault="00D94D52" w:rsidP="00F92016">
            <w:pPr>
              <w:pStyle w:val="ListParagraph"/>
              <w:numPr>
                <w:ilvl w:val="0"/>
                <w:numId w:val="43"/>
              </w:numPr>
              <w:spacing w:after="120" w:line="240" w:lineRule="auto"/>
              <w:ind w:left="360"/>
              <w:jc w:val="both"/>
              <w:rPr>
                <w:rFonts w:asciiTheme="majorHAnsi" w:hAnsiTheme="majorHAnsi"/>
                <w:i/>
                <w:u w:val="single"/>
                <w:lang w:val="en-PH"/>
              </w:rPr>
            </w:pPr>
            <w:r>
              <w:rPr>
                <w:rFonts w:asciiTheme="majorHAnsi" w:hAnsiTheme="majorHAnsi"/>
                <w:lang w:val="en-PH"/>
              </w:rPr>
              <w:t xml:space="preserve">Task Teams were created on the development of the projects’ Concept Note/Terms of Reference which </w:t>
            </w:r>
            <w:r w:rsidR="00F92016">
              <w:rPr>
                <w:rFonts w:asciiTheme="majorHAnsi" w:hAnsiTheme="majorHAnsi"/>
                <w:lang w:val="en-PH"/>
              </w:rPr>
              <w:t xml:space="preserve">were </w:t>
            </w:r>
            <w:r>
              <w:rPr>
                <w:rFonts w:asciiTheme="majorHAnsi" w:hAnsiTheme="majorHAnsi"/>
                <w:lang w:val="en-PH"/>
              </w:rPr>
              <w:t xml:space="preserve"> presented at the 2019 WGPD Annual Meeting in Baku, Azerbaijan, on 2</w:t>
            </w:r>
            <w:r w:rsidR="00F92016">
              <w:rPr>
                <w:rFonts w:asciiTheme="majorHAnsi" w:hAnsiTheme="majorHAnsi"/>
                <w:lang w:val="en-PH"/>
              </w:rPr>
              <w:t>4</w:t>
            </w:r>
            <w:r>
              <w:rPr>
                <w:rFonts w:asciiTheme="majorHAnsi" w:hAnsiTheme="majorHAnsi"/>
                <w:lang w:val="en-PH"/>
              </w:rPr>
              <w:t xml:space="preserve"> May 2019</w:t>
            </w:r>
            <w:r w:rsidR="00F92016">
              <w:rPr>
                <w:rFonts w:asciiTheme="majorHAnsi" w:hAnsiTheme="majorHAnsi"/>
                <w:lang w:val="en-PH"/>
              </w:rPr>
              <w:t xml:space="preserve"> for comment</w:t>
            </w:r>
            <w:r>
              <w:rPr>
                <w:rFonts w:asciiTheme="majorHAnsi" w:hAnsiTheme="majorHAnsi"/>
                <w:lang w:val="en-PH"/>
              </w:rPr>
              <w:t>.</w:t>
            </w:r>
          </w:p>
        </w:tc>
      </w:tr>
      <w:tr w:rsidR="00920693" w:rsidRPr="007326AB" w14:paraId="4AEC90D6" w14:textId="4CF6C15F" w:rsidTr="00920693">
        <w:tblPrEx>
          <w:tblCellMar>
            <w:left w:w="108" w:type="dxa"/>
            <w:right w:w="108" w:type="dxa"/>
          </w:tblCellMar>
        </w:tblPrEx>
        <w:trPr>
          <w:trHeight w:val="1435"/>
        </w:trPr>
        <w:tc>
          <w:tcPr>
            <w:tcW w:w="2181" w:type="dxa"/>
          </w:tcPr>
          <w:p w14:paraId="6D10162A" w14:textId="01ED125E" w:rsidR="00920693" w:rsidRPr="007326AB" w:rsidRDefault="00920693" w:rsidP="00D56D2D">
            <w:pPr>
              <w:rPr>
                <w:rFonts w:asciiTheme="majorHAnsi" w:hAnsiTheme="majorHAnsi"/>
              </w:rPr>
            </w:pPr>
          </w:p>
        </w:tc>
        <w:tc>
          <w:tcPr>
            <w:tcW w:w="5100" w:type="dxa"/>
          </w:tcPr>
          <w:p w14:paraId="1D2F2C64" w14:textId="16754072" w:rsidR="00920693" w:rsidRPr="00E62414" w:rsidRDefault="00920693" w:rsidP="007957F4">
            <w:pPr>
              <w:autoSpaceDE w:val="0"/>
              <w:autoSpaceDN w:val="0"/>
              <w:adjustRightInd w:val="0"/>
              <w:spacing w:before="120" w:line="240" w:lineRule="auto"/>
              <w:jc w:val="both"/>
              <w:rPr>
                <w:rFonts w:asciiTheme="majorHAnsi" w:hAnsiTheme="majorHAnsi"/>
              </w:rPr>
            </w:pPr>
            <w:r w:rsidRPr="00B64554">
              <w:rPr>
                <w:rFonts w:asciiTheme="majorHAnsi" w:hAnsiTheme="majorHAnsi"/>
              </w:rPr>
              <w:t>Revision of ISSAI products: Annual targets for updating and revising existing standards are established for the period 2017–2022. This work is done in close coll</w:t>
            </w:r>
            <w:r>
              <w:rPr>
                <w:rFonts w:asciiTheme="majorHAnsi" w:hAnsiTheme="majorHAnsi"/>
              </w:rPr>
              <w:t>aboration with the PSC and FIPP.</w:t>
            </w:r>
          </w:p>
        </w:tc>
        <w:tc>
          <w:tcPr>
            <w:tcW w:w="3780" w:type="dxa"/>
          </w:tcPr>
          <w:p w14:paraId="35C6B7CB" w14:textId="43F27A0F" w:rsidR="00920693" w:rsidRPr="007957F4" w:rsidRDefault="00920693" w:rsidP="007957F4">
            <w:pPr>
              <w:pStyle w:val="ListParagraph"/>
              <w:numPr>
                <w:ilvl w:val="0"/>
                <w:numId w:val="26"/>
              </w:numPr>
              <w:spacing w:before="120"/>
              <w:ind w:left="252" w:hanging="252"/>
              <w:rPr>
                <w:rFonts w:asciiTheme="majorHAnsi" w:hAnsiTheme="majorHAnsi"/>
              </w:rPr>
            </w:pPr>
            <w:r w:rsidRPr="007957F4">
              <w:rPr>
                <w:rFonts w:asciiTheme="majorHAnsi" w:hAnsiTheme="majorHAnsi"/>
                <w:highlight w:val="cyan"/>
              </w:rPr>
              <w:t>Co-opting of WGPD with KSC task team on Project 2.5 (Internal Control)</w:t>
            </w:r>
          </w:p>
        </w:tc>
        <w:tc>
          <w:tcPr>
            <w:tcW w:w="5580" w:type="dxa"/>
          </w:tcPr>
          <w:p w14:paraId="7C99A641" w14:textId="77777777" w:rsidR="00920693" w:rsidRPr="006F30DC" w:rsidRDefault="00920693" w:rsidP="007957F4">
            <w:pPr>
              <w:spacing w:before="120" w:line="240" w:lineRule="auto"/>
              <w:jc w:val="both"/>
              <w:rPr>
                <w:rFonts w:asciiTheme="majorHAnsi" w:hAnsiTheme="majorHAnsi"/>
                <w:i/>
                <w:u w:val="single"/>
                <w:lang w:val="en-PH"/>
              </w:rPr>
            </w:pPr>
            <w:r w:rsidRPr="006F30DC">
              <w:rPr>
                <w:rFonts w:asciiTheme="majorHAnsi" w:hAnsiTheme="majorHAnsi"/>
                <w:i/>
                <w:u w:val="single"/>
                <w:lang w:val="en-PH"/>
              </w:rPr>
              <w:t>Progress to date</w:t>
            </w:r>
          </w:p>
          <w:p w14:paraId="2D8C0287" w14:textId="77777777" w:rsidR="00920693" w:rsidRPr="00025FA0" w:rsidRDefault="00920693" w:rsidP="007957F4">
            <w:pPr>
              <w:spacing w:before="240" w:line="240" w:lineRule="auto"/>
              <w:rPr>
                <w:rFonts w:asciiTheme="majorHAnsi" w:hAnsiTheme="majorHAnsi"/>
                <w:lang w:val="en-PH"/>
              </w:rPr>
            </w:pPr>
            <w:r>
              <w:rPr>
                <w:rFonts w:asciiTheme="majorHAnsi" w:hAnsiTheme="majorHAnsi"/>
                <w:lang w:val="en-PH"/>
              </w:rPr>
              <w:t xml:space="preserve">Two WGPD members (USA and Philippines) signified interest in joining this project. </w:t>
            </w:r>
          </w:p>
          <w:p w14:paraId="6F49B2B5" w14:textId="77777777" w:rsidR="00920693" w:rsidRPr="006F30DC" w:rsidRDefault="00920693" w:rsidP="007957F4">
            <w:pPr>
              <w:spacing w:before="240" w:line="240" w:lineRule="auto"/>
              <w:rPr>
                <w:rFonts w:asciiTheme="majorHAnsi" w:hAnsiTheme="majorHAnsi"/>
                <w:i/>
                <w:u w:val="single"/>
                <w:lang w:val="en-PH"/>
              </w:rPr>
            </w:pPr>
            <w:r>
              <w:rPr>
                <w:rFonts w:asciiTheme="majorHAnsi" w:hAnsiTheme="majorHAnsi"/>
                <w:i/>
                <w:u w:val="single"/>
                <w:lang w:val="en-PH"/>
              </w:rPr>
              <w:t>Action items / key next items</w:t>
            </w:r>
          </w:p>
          <w:p w14:paraId="4F5354E4" w14:textId="7959B666" w:rsidR="00920693" w:rsidRPr="007326AB" w:rsidRDefault="00920693" w:rsidP="007957F4">
            <w:pPr>
              <w:spacing w:before="120" w:after="120"/>
              <w:rPr>
                <w:rFonts w:asciiTheme="majorHAnsi" w:hAnsiTheme="majorHAnsi"/>
              </w:rPr>
            </w:pPr>
            <w:r>
              <w:rPr>
                <w:rFonts w:asciiTheme="majorHAnsi" w:hAnsiTheme="majorHAnsi"/>
                <w:lang w:val="en-PH"/>
              </w:rPr>
              <w:t>WGPD shall await further information from KSC/WGITA regarding this project.</w:t>
            </w:r>
          </w:p>
        </w:tc>
      </w:tr>
      <w:tr w:rsidR="00CF6326" w:rsidRPr="007326AB" w14:paraId="35208B45" w14:textId="144FDFC6" w:rsidTr="00920693">
        <w:trPr>
          <w:trHeight w:val="1435"/>
        </w:trPr>
        <w:tc>
          <w:tcPr>
            <w:tcW w:w="2181" w:type="dxa"/>
            <w:vMerge w:val="restart"/>
          </w:tcPr>
          <w:p w14:paraId="1ADEC12A" w14:textId="77777777" w:rsidR="00CF6326" w:rsidRPr="00B64554" w:rsidRDefault="00CF6326" w:rsidP="00CF6326">
            <w:pPr>
              <w:autoSpaceDE w:val="0"/>
              <w:autoSpaceDN w:val="0"/>
              <w:adjustRightInd w:val="0"/>
              <w:spacing w:before="120" w:line="240" w:lineRule="auto"/>
              <w:rPr>
                <w:rFonts w:asciiTheme="majorHAnsi" w:hAnsiTheme="majorHAnsi"/>
              </w:rPr>
            </w:pPr>
            <w:r w:rsidRPr="00E62414">
              <w:rPr>
                <w:rFonts w:asciiTheme="majorHAnsi" w:hAnsiTheme="majorHAnsi"/>
              </w:rPr>
              <w:t>Enable wide exchange of knowledge and experience among INTOSAI members.</w:t>
            </w:r>
          </w:p>
          <w:p w14:paraId="6EA5380E" w14:textId="77777777" w:rsidR="00CF6326" w:rsidRPr="007326AB" w:rsidRDefault="00CF6326" w:rsidP="00CF6326">
            <w:pPr>
              <w:spacing w:before="120"/>
              <w:rPr>
                <w:rFonts w:asciiTheme="majorHAnsi" w:hAnsiTheme="majorHAnsi"/>
              </w:rPr>
            </w:pPr>
          </w:p>
        </w:tc>
        <w:tc>
          <w:tcPr>
            <w:tcW w:w="5100" w:type="dxa"/>
            <w:vMerge w:val="restart"/>
            <w:shd w:val="clear" w:color="auto" w:fill="auto"/>
          </w:tcPr>
          <w:p w14:paraId="53645C15" w14:textId="168FA4FC" w:rsidR="00CF6326" w:rsidRPr="00E62414" w:rsidRDefault="00CF6326" w:rsidP="00CF6326">
            <w:pPr>
              <w:autoSpaceDE w:val="0"/>
              <w:autoSpaceDN w:val="0"/>
              <w:adjustRightInd w:val="0"/>
              <w:spacing w:before="120" w:line="240" w:lineRule="auto"/>
              <w:rPr>
                <w:rFonts w:asciiTheme="majorHAnsi" w:hAnsiTheme="majorHAnsi"/>
              </w:rPr>
            </w:pPr>
            <w:r w:rsidRPr="003F1D52">
              <w:rPr>
                <w:rFonts w:asciiTheme="majorHAnsi" w:hAnsiTheme="majorHAnsi"/>
              </w:rPr>
              <w:t xml:space="preserve">INTOSAI KSC-IDI Community Portal: In close collaboration with IDI, a knowledge sharing platform to serve as the hub for knowledge sharing has been formed. </w:t>
            </w:r>
          </w:p>
        </w:tc>
        <w:tc>
          <w:tcPr>
            <w:tcW w:w="3780" w:type="dxa"/>
            <w:shd w:val="clear" w:color="auto" w:fill="auto"/>
          </w:tcPr>
          <w:p w14:paraId="4C2D7A27" w14:textId="081FAA0E" w:rsidR="00CF6326" w:rsidRPr="007326AB" w:rsidRDefault="00CF6326" w:rsidP="00CF6326">
            <w:pPr>
              <w:spacing w:before="120"/>
              <w:rPr>
                <w:rFonts w:asciiTheme="majorHAnsi" w:hAnsiTheme="majorHAnsi"/>
              </w:rPr>
            </w:pPr>
            <w:r w:rsidRPr="002E2C45">
              <w:rPr>
                <w:rFonts w:asciiTheme="majorHAnsi" w:hAnsiTheme="majorHAnsi"/>
                <w:shd w:val="clear" w:color="auto" w:fill="FFC000"/>
              </w:rPr>
              <w:t>Utilized the INTOSAI tools (Communities of Practice and other ICT-based mechanisms, such as webinar, videoconferences, etc.) in the conduct of seminars, fora, capacity-building programs and workshops.</w:t>
            </w:r>
          </w:p>
        </w:tc>
        <w:tc>
          <w:tcPr>
            <w:tcW w:w="5580" w:type="dxa"/>
            <w:shd w:val="clear" w:color="auto" w:fill="FFFFFF" w:themeFill="background1"/>
          </w:tcPr>
          <w:p w14:paraId="504BED4F" w14:textId="77777777" w:rsidR="00CF6326" w:rsidRPr="006F30DC" w:rsidRDefault="00CF6326" w:rsidP="00CF6326">
            <w:pPr>
              <w:spacing w:before="120" w:line="240" w:lineRule="auto"/>
              <w:rPr>
                <w:rFonts w:asciiTheme="majorHAnsi" w:hAnsiTheme="majorHAnsi"/>
                <w:i/>
                <w:u w:val="single"/>
                <w:lang w:val="en-PH"/>
              </w:rPr>
            </w:pPr>
            <w:r w:rsidRPr="006F30DC">
              <w:rPr>
                <w:rFonts w:asciiTheme="majorHAnsi" w:hAnsiTheme="majorHAnsi"/>
                <w:i/>
                <w:u w:val="single"/>
                <w:lang w:val="en-PH"/>
              </w:rPr>
              <w:t>Progress to date</w:t>
            </w:r>
          </w:p>
          <w:p w14:paraId="0BDBD408" w14:textId="77777777" w:rsidR="00CF6326" w:rsidRDefault="00CF6326" w:rsidP="00CF6326">
            <w:pPr>
              <w:spacing w:before="120"/>
              <w:rPr>
                <w:rFonts w:asciiTheme="majorHAnsi" w:hAnsiTheme="majorHAnsi"/>
                <w:lang w:val="en-PH"/>
              </w:rPr>
            </w:pPr>
            <w:r>
              <w:rPr>
                <w:rFonts w:asciiTheme="majorHAnsi" w:hAnsiTheme="majorHAnsi"/>
                <w:lang w:val="en-PH"/>
              </w:rPr>
              <w:t>In the 2018 Annual Meeting of the WGPD hosted by SAI India, the working group utilized the INTOSAI Community Portal for the on-line meeting registration.</w:t>
            </w:r>
          </w:p>
          <w:p w14:paraId="0B61F2B4" w14:textId="77777777" w:rsidR="00CF6326" w:rsidRDefault="00CF6326" w:rsidP="00CF6326">
            <w:pPr>
              <w:spacing w:before="120"/>
              <w:rPr>
                <w:rFonts w:asciiTheme="majorHAnsi" w:hAnsiTheme="majorHAnsi"/>
              </w:rPr>
            </w:pPr>
            <w:r>
              <w:rPr>
                <w:rFonts w:asciiTheme="majorHAnsi" w:hAnsiTheme="majorHAnsi"/>
              </w:rPr>
              <w:t xml:space="preserve">Mr. Manish Kumar of </w:t>
            </w:r>
            <w:r w:rsidRPr="00C417CB">
              <w:rPr>
                <w:rFonts w:asciiTheme="majorHAnsi" w:hAnsiTheme="majorHAnsi"/>
              </w:rPr>
              <w:t>SAI India</w:t>
            </w:r>
            <w:r>
              <w:rPr>
                <w:rFonts w:asciiTheme="majorHAnsi" w:hAnsiTheme="majorHAnsi"/>
              </w:rPr>
              <w:t xml:space="preserve">, </w:t>
            </w:r>
            <w:r w:rsidRPr="00C417CB">
              <w:rPr>
                <w:rFonts w:asciiTheme="majorHAnsi" w:hAnsiTheme="majorHAnsi"/>
              </w:rPr>
              <w:t>the desi</w:t>
            </w:r>
            <w:r>
              <w:rPr>
                <w:rFonts w:asciiTheme="majorHAnsi" w:hAnsiTheme="majorHAnsi"/>
              </w:rPr>
              <w:t xml:space="preserve">gnated Community of Practice (CoP) Manager for the WGPD reported the progress </w:t>
            </w:r>
            <w:r>
              <w:rPr>
                <w:rFonts w:asciiTheme="majorHAnsi" w:hAnsiTheme="majorHAnsi"/>
              </w:rPr>
              <w:lastRenderedPageBreak/>
              <w:t>on the CoP during the 2018 meeting. He also reiterated the role of CoP in enabling the members to interact thru activating on-line discussions in the CoP.</w:t>
            </w:r>
          </w:p>
          <w:p w14:paraId="47A894EB" w14:textId="77777777" w:rsidR="00CF6326" w:rsidRDefault="00CF6326" w:rsidP="00CF6326">
            <w:pPr>
              <w:spacing w:before="120"/>
              <w:rPr>
                <w:rFonts w:asciiTheme="majorHAnsi" w:hAnsiTheme="majorHAnsi"/>
              </w:rPr>
            </w:pPr>
            <w:r>
              <w:rPr>
                <w:rFonts w:asciiTheme="majorHAnsi" w:hAnsiTheme="majorHAnsi"/>
              </w:rPr>
              <w:t>Subsequently, Mr. Manish Kumar initiated the migration of the content of the WGPD website locally maintained by SAI Philippines.</w:t>
            </w:r>
          </w:p>
          <w:p w14:paraId="2965D7AF" w14:textId="77777777" w:rsidR="00CF6326" w:rsidRDefault="00CF6326" w:rsidP="00CF6326">
            <w:pPr>
              <w:spacing w:before="120"/>
              <w:rPr>
                <w:rFonts w:asciiTheme="majorHAnsi" w:hAnsiTheme="majorHAnsi"/>
              </w:rPr>
            </w:pPr>
            <w:r>
              <w:rPr>
                <w:rFonts w:asciiTheme="majorHAnsi" w:hAnsiTheme="majorHAnsi"/>
              </w:rPr>
              <w:t xml:space="preserve">Together with the submission of the Minutes of the Meeting (MOM) of the 2018 WGPD meeting to the KSC, the Secretariat requested publishing of the same to the INTOSAI IDI-Community Portal. </w:t>
            </w:r>
          </w:p>
          <w:p w14:paraId="43102605" w14:textId="77777777" w:rsidR="00CF6326" w:rsidRPr="006F30DC" w:rsidRDefault="00CF6326" w:rsidP="00CF6326">
            <w:pPr>
              <w:spacing w:before="240" w:line="240" w:lineRule="auto"/>
              <w:rPr>
                <w:rFonts w:asciiTheme="majorHAnsi" w:hAnsiTheme="majorHAnsi"/>
                <w:i/>
                <w:u w:val="single"/>
                <w:lang w:val="en-PH"/>
              </w:rPr>
            </w:pPr>
            <w:r>
              <w:rPr>
                <w:rFonts w:asciiTheme="majorHAnsi" w:hAnsiTheme="majorHAnsi"/>
                <w:i/>
                <w:u w:val="single"/>
                <w:lang w:val="en-PH"/>
              </w:rPr>
              <w:t>Action items / key next items</w:t>
            </w:r>
          </w:p>
          <w:p w14:paraId="5D8F78AA" w14:textId="7CC77878" w:rsidR="00CF6326" w:rsidRDefault="00CF6326" w:rsidP="00CF6326">
            <w:pPr>
              <w:spacing w:before="120" w:line="240" w:lineRule="auto"/>
              <w:jc w:val="both"/>
              <w:rPr>
                <w:rFonts w:asciiTheme="majorHAnsi" w:hAnsiTheme="majorHAnsi"/>
              </w:rPr>
            </w:pPr>
            <w:r>
              <w:rPr>
                <w:rFonts w:asciiTheme="majorHAnsi" w:hAnsiTheme="majorHAnsi"/>
              </w:rPr>
              <w:t xml:space="preserve">Part of the way forward activities for the CoP as concluded in the 2018 WGPD meeting is the </w:t>
            </w:r>
            <w:r w:rsidRPr="003B09B4">
              <w:rPr>
                <w:rFonts w:asciiTheme="majorHAnsi" w:hAnsiTheme="majorHAnsi"/>
              </w:rPr>
              <w:t>inclusion of chat discussions and videos for the development of a robust CoP</w:t>
            </w:r>
            <w:r>
              <w:rPr>
                <w:rFonts w:asciiTheme="majorHAnsi" w:hAnsiTheme="majorHAnsi"/>
              </w:rPr>
              <w:t xml:space="preserve">. In this connection, </w:t>
            </w:r>
            <w:r w:rsidR="00574E80">
              <w:rPr>
                <w:rFonts w:asciiTheme="majorHAnsi" w:hAnsiTheme="majorHAnsi"/>
              </w:rPr>
              <w:t xml:space="preserve">presentations during these </w:t>
            </w:r>
            <w:r w:rsidRPr="003B09B4">
              <w:rPr>
                <w:rFonts w:asciiTheme="majorHAnsi" w:hAnsiTheme="majorHAnsi"/>
              </w:rPr>
              <w:t>annual meeting</w:t>
            </w:r>
            <w:r>
              <w:rPr>
                <w:rFonts w:asciiTheme="majorHAnsi" w:hAnsiTheme="majorHAnsi"/>
              </w:rPr>
              <w:t>s are to</w:t>
            </w:r>
            <w:r w:rsidRPr="003B09B4">
              <w:rPr>
                <w:rFonts w:asciiTheme="majorHAnsi" w:hAnsiTheme="majorHAnsi"/>
              </w:rPr>
              <w:t xml:space="preserve"> be further discussed in the ComPortal in the form of discussion forums</w:t>
            </w:r>
            <w:r>
              <w:rPr>
                <w:rFonts w:asciiTheme="majorHAnsi" w:hAnsiTheme="majorHAnsi"/>
              </w:rPr>
              <w:t>.</w:t>
            </w:r>
          </w:p>
          <w:p w14:paraId="09D46B2E" w14:textId="6414EC58" w:rsidR="00CF6326" w:rsidRPr="007326AB" w:rsidRDefault="00CF6326" w:rsidP="00CF6326">
            <w:pPr>
              <w:spacing w:before="120" w:line="240" w:lineRule="auto"/>
              <w:jc w:val="both"/>
              <w:rPr>
                <w:rFonts w:asciiTheme="majorHAnsi" w:hAnsiTheme="majorHAnsi"/>
              </w:rPr>
            </w:pPr>
            <w:r>
              <w:rPr>
                <w:rFonts w:asciiTheme="majorHAnsi" w:hAnsiTheme="majorHAnsi"/>
              </w:rPr>
              <w:t xml:space="preserve">Constant review of the contents of the CoP by the Secretariat is done to ensure that contents are updated. </w:t>
            </w:r>
          </w:p>
        </w:tc>
      </w:tr>
      <w:tr w:rsidR="00920693" w:rsidRPr="007326AB" w14:paraId="527CDE4F" w14:textId="0F3BDE39" w:rsidTr="004362FD">
        <w:trPr>
          <w:trHeight w:val="1160"/>
        </w:trPr>
        <w:tc>
          <w:tcPr>
            <w:tcW w:w="2181" w:type="dxa"/>
            <w:vMerge/>
            <w:vAlign w:val="center"/>
          </w:tcPr>
          <w:p w14:paraId="1B08A1E2" w14:textId="55BEEE6C" w:rsidR="00920693" w:rsidRPr="00E62414" w:rsidRDefault="00920693" w:rsidP="00E62414">
            <w:pPr>
              <w:autoSpaceDE w:val="0"/>
              <w:autoSpaceDN w:val="0"/>
              <w:adjustRightInd w:val="0"/>
              <w:spacing w:line="240" w:lineRule="auto"/>
              <w:jc w:val="both"/>
              <w:rPr>
                <w:rFonts w:asciiTheme="majorHAnsi" w:hAnsiTheme="majorHAnsi"/>
              </w:rPr>
            </w:pPr>
          </w:p>
        </w:tc>
        <w:tc>
          <w:tcPr>
            <w:tcW w:w="5100" w:type="dxa"/>
            <w:vMerge/>
            <w:shd w:val="clear" w:color="auto" w:fill="auto"/>
            <w:vAlign w:val="center"/>
          </w:tcPr>
          <w:p w14:paraId="21552F3B" w14:textId="77777777" w:rsidR="00920693" w:rsidRPr="003F1D52" w:rsidRDefault="00920693" w:rsidP="00E62414">
            <w:pPr>
              <w:autoSpaceDE w:val="0"/>
              <w:autoSpaceDN w:val="0"/>
              <w:adjustRightInd w:val="0"/>
              <w:spacing w:line="240" w:lineRule="auto"/>
              <w:jc w:val="both"/>
              <w:rPr>
                <w:rFonts w:asciiTheme="majorHAnsi" w:hAnsiTheme="majorHAnsi"/>
              </w:rPr>
            </w:pPr>
          </w:p>
        </w:tc>
        <w:tc>
          <w:tcPr>
            <w:tcW w:w="3780" w:type="dxa"/>
            <w:shd w:val="clear" w:color="auto" w:fill="auto"/>
            <w:vAlign w:val="center"/>
          </w:tcPr>
          <w:p w14:paraId="41AE7D7B" w14:textId="1B6960BB" w:rsidR="00920693" w:rsidRPr="008831D5" w:rsidRDefault="00920693" w:rsidP="00BF4CEE">
            <w:pPr>
              <w:rPr>
                <w:rFonts w:asciiTheme="majorHAnsi" w:hAnsiTheme="majorHAnsi"/>
                <w:lang w:val="en-PH"/>
              </w:rPr>
            </w:pPr>
            <w:r w:rsidRPr="0086304F">
              <w:rPr>
                <w:rFonts w:asciiTheme="majorHAnsi" w:hAnsiTheme="majorHAnsi"/>
                <w:highlight w:val="cyan"/>
              </w:rPr>
              <w:t>No. of products published in all INTOSAI's official languages (i.e. WG’s website, INTOSAI Journal, INTOSAI website).</w:t>
            </w:r>
          </w:p>
        </w:tc>
        <w:tc>
          <w:tcPr>
            <w:tcW w:w="5580" w:type="dxa"/>
            <w:shd w:val="clear" w:color="auto" w:fill="FFFFFF" w:themeFill="background1"/>
            <w:vAlign w:val="center"/>
          </w:tcPr>
          <w:p w14:paraId="3EAB738E" w14:textId="78CBA25A" w:rsidR="00920693" w:rsidRPr="00344C42" w:rsidRDefault="00920693" w:rsidP="00275B64">
            <w:pPr>
              <w:spacing w:before="120" w:line="240" w:lineRule="auto"/>
              <w:jc w:val="both"/>
              <w:rPr>
                <w:rFonts w:asciiTheme="majorHAnsi" w:hAnsiTheme="majorHAnsi"/>
                <w:lang w:val="en-PH"/>
              </w:rPr>
            </w:pPr>
            <w:r w:rsidRPr="00344C42">
              <w:rPr>
                <w:rFonts w:asciiTheme="majorHAnsi" w:hAnsiTheme="majorHAnsi"/>
                <w:lang w:val="en-PH"/>
              </w:rPr>
              <w:t>TBD</w:t>
            </w:r>
          </w:p>
        </w:tc>
      </w:tr>
      <w:tr w:rsidR="00920693" w:rsidRPr="007326AB" w14:paraId="619F975E" w14:textId="65A43CB3" w:rsidTr="00920693">
        <w:trPr>
          <w:trHeight w:val="670"/>
        </w:trPr>
        <w:tc>
          <w:tcPr>
            <w:tcW w:w="2181" w:type="dxa"/>
            <w:vMerge/>
            <w:vAlign w:val="center"/>
          </w:tcPr>
          <w:p w14:paraId="3C8B9B73" w14:textId="4463C4DC" w:rsidR="00920693" w:rsidRPr="007326AB" w:rsidRDefault="00920693" w:rsidP="00E62414">
            <w:pPr>
              <w:rPr>
                <w:rFonts w:asciiTheme="majorHAnsi" w:eastAsia="Calibri" w:hAnsiTheme="majorHAnsi"/>
                <w:spacing w:val="-2"/>
              </w:rPr>
            </w:pPr>
          </w:p>
        </w:tc>
        <w:tc>
          <w:tcPr>
            <w:tcW w:w="5100" w:type="dxa"/>
            <w:shd w:val="clear" w:color="auto" w:fill="auto"/>
            <w:vAlign w:val="center"/>
          </w:tcPr>
          <w:p w14:paraId="52D76C42" w14:textId="19BA8D6A" w:rsidR="00920693" w:rsidRPr="007326AB" w:rsidRDefault="00920693" w:rsidP="00E62414">
            <w:pPr>
              <w:autoSpaceDE w:val="0"/>
              <w:autoSpaceDN w:val="0"/>
              <w:adjustRightInd w:val="0"/>
              <w:spacing w:line="240" w:lineRule="auto"/>
              <w:jc w:val="both"/>
              <w:rPr>
                <w:rFonts w:asciiTheme="majorHAnsi" w:eastAsia="Calibri" w:hAnsiTheme="majorHAnsi"/>
                <w:spacing w:val="-2"/>
              </w:rPr>
            </w:pPr>
            <w:r w:rsidRPr="003F1D52">
              <w:rPr>
                <w:rFonts w:asciiTheme="majorHAnsi" w:hAnsiTheme="majorHAnsi"/>
              </w:rPr>
              <w:t>R</w:t>
            </w:r>
            <w:r w:rsidRPr="007326AB">
              <w:rPr>
                <w:rFonts w:asciiTheme="majorHAnsi" w:hAnsiTheme="majorHAnsi"/>
              </w:rPr>
              <w:t>e</w:t>
            </w:r>
            <w:r w:rsidRPr="003F1D52">
              <w:rPr>
                <w:rFonts w:asciiTheme="majorHAnsi" w:hAnsiTheme="majorHAnsi"/>
              </w:rPr>
              <w:t>search projects: The KSC leads the development of a scheme for encouraging internal (to INTOSAI) and external research projects in public audit. The KSC also facilitates INTOSAI’s engagement with the</w:t>
            </w:r>
            <w:r w:rsidRPr="003F1D52">
              <w:rPr>
                <w:rFonts w:asciiTheme="majorHAnsi" w:hAnsiTheme="majorHAnsi" w:cs="Minion Pro"/>
              </w:rPr>
              <w:t xml:space="preserve"> </w:t>
            </w:r>
            <w:r w:rsidRPr="003F1D52">
              <w:rPr>
                <w:rFonts w:asciiTheme="majorHAnsi" w:hAnsiTheme="majorHAnsi"/>
              </w:rPr>
              <w:t>academic community on issues of mutual interest and co</w:t>
            </w:r>
            <w:r w:rsidRPr="007326AB">
              <w:rPr>
                <w:rFonts w:asciiTheme="majorHAnsi" w:hAnsiTheme="majorHAnsi"/>
              </w:rPr>
              <w:t>ncern.</w:t>
            </w:r>
          </w:p>
        </w:tc>
        <w:tc>
          <w:tcPr>
            <w:tcW w:w="3780" w:type="dxa"/>
            <w:shd w:val="clear" w:color="auto" w:fill="auto"/>
            <w:vAlign w:val="center"/>
          </w:tcPr>
          <w:p w14:paraId="2D6105E1" w14:textId="74965DBD" w:rsidR="00920693" w:rsidRPr="007326AB" w:rsidRDefault="00920693" w:rsidP="004362FD">
            <w:pPr>
              <w:spacing w:before="120"/>
              <w:rPr>
                <w:rFonts w:asciiTheme="majorHAnsi" w:hAnsiTheme="majorHAnsi"/>
              </w:rPr>
            </w:pPr>
            <w:r w:rsidRPr="0086304F">
              <w:rPr>
                <w:rFonts w:asciiTheme="majorHAnsi" w:hAnsiTheme="majorHAnsi" w:cs="Arial"/>
                <w:highlight w:val="cyan"/>
              </w:rPr>
              <w:t>No. of cooperative/joint audits, internship programs, staff exchange agreements, technical visits, trans-regional programs, and/or peer reviews on public debt auditing among the INTOSAI members promoted/engaged/conducted.</w:t>
            </w:r>
          </w:p>
        </w:tc>
        <w:tc>
          <w:tcPr>
            <w:tcW w:w="5580" w:type="dxa"/>
            <w:shd w:val="clear" w:color="auto" w:fill="FFFFFF" w:themeFill="background1"/>
            <w:vAlign w:val="center"/>
          </w:tcPr>
          <w:p w14:paraId="7E2B63C6" w14:textId="606012E3" w:rsidR="00920693" w:rsidRPr="007326AB" w:rsidRDefault="00920693" w:rsidP="00E62414">
            <w:pPr>
              <w:rPr>
                <w:rFonts w:asciiTheme="majorHAnsi" w:hAnsiTheme="majorHAnsi"/>
              </w:rPr>
            </w:pPr>
            <w:r>
              <w:rPr>
                <w:rFonts w:asciiTheme="majorHAnsi" w:hAnsiTheme="majorHAnsi"/>
              </w:rPr>
              <w:t>TBD</w:t>
            </w:r>
          </w:p>
        </w:tc>
      </w:tr>
      <w:tr w:rsidR="00920693" w:rsidRPr="007326AB" w14:paraId="239999E9" w14:textId="304FF7F3" w:rsidTr="00920693">
        <w:trPr>
          <w:trHeight w:val="1172"/>
        </w:trPr>
        <w:tc>
          <w:tcPr>
            <w:tcW w:w="2181" w:type="dxa"/>
            <w:vMerge/>
            <w:vAlign w:val="center"/>
          </w:tcPr>
          <w:p w14:paraId="427ED57A" w14:textId="77777777" w:rsidR="00920693" w:rsidRPr="007326AB" w:rsidRDefault="00920693" w:rsidP="00E62414">
            <w:pPr>
              <w:rPr>
                <w:rFonts w:asciiTheme="majorHAnsi" w:eastAsia="Calibri" w:hAnsiTheme="majorHAnsi"/>
                <w:spacing w:val="-2"/>
              </w:rPr>
            </w:pPr>
          </w:p>
        </w:tc>
        <w:tc>
          <w:tcPr>
            <w:tcW w:w="5100" w:type="dxa"/>
            <w:shd w:val="clear" w:color="auto" w:fill="auto"/>
            <w:vAlign w:val="center"/>
          </w:tcPr>
          <w:p w14:paraId="16D08B7B" w14:textId="21072E31" w:rsidR="00920693" w:rsidRDefault="00920693" w:rsidP="006932F4">
            <w:pPr>
              <w:autoSpaceDE w:val="0"/>
              <w:autoSpaceDN w:val="0"/>
              <w:adjustRightInd w:val="0"/>
              <w:spacing w:line="240" w:lineRule="auto"/>
              <w:jc w:val="both"/>
              <w:rPr>
                <w:rFonts w:asciiTheme="majorHAnsi" w:hAnsiTheme="majorHAnsi"/>
              </w:rPr>
            </w:pPr>
            <w:r w:rsidRPr="00025FA0">
              <w:rPr>
                <w:rFonts w:asciiTheme="majorHAnsi" w:hAnsiTheme="majorHAnsi"/>
              </w:rPr>
              <w:t>Generation and dissemination knowledge and experiences</w:t>
            </w:r>
            <w:r>
              <w:rPr>
                <w:rFonts w:asciiTheme="majorHAnsi" w:hAnsiTheme="majorHAnsi"/>
              </w:rPr>
              <w:t xml:space="preserve"> (workshops, training, benchmarking exercise, joint/ collaborative audits, outreach activities etc.)</w:t>
            </w:r>
            <w:r>
              <w:rPr>
                <w:rStyle w:val="FootnoteReference"/>
                <w:rFonts w:asciiTheme="majorHAnsi" w:hAnsiTheme="majorHAnsi"/>
              </w:rPr>
              <w:footnoteReference w:id="3"/>
            </w:r>
          </w:p>
        </w:tc>
        <w:tc>
          <w:tcPr>
            <w:tcW w:w="3780" w:type="dxa"/>
            <w:shd w:val="clear" w:color="auto" w:fill="auto"/>
            <w:vAlign w:val="center"/>
          </w:tcPr>
          <w:p w14:paraId="59839F36" w14:textId="0BE97577" w:rsidR="00920693" w:rsidRDefault="00920693" w:rsidP="00025FA0">
            <w:pPr>
              <w:spacing w:before="120" w:after="120"/>
              <w:rPr>
                <w:rFonts w:asciiTheme="majorHAnsi" w:hAnsiTheme="majorHAnsi"/>
              </w:rPr>
            </w:pPr>
            <w:r w:rsidRPr="0086304F">
              <w:rPr>
                <w:rFonts w:asciiTheme="majorHAnsi" w:hAnsiTheme="majorHAnsi"/>
                <w:highlight w:val="cyan"/>
              </w:rPr>
              <w:t>No. of seminars, fora, capacity-building programs and workshops in collaboration with World Bank, IDI, and other parties/stakeholders.</w:t>
            </w:r>
          </w:p>
        </w:tc>
        <w:tc>
          <w:tcPr>
            <w:tcW w:w="5580" w:type="dxa"/>
            <w:shd w:val="clear" w:color="auto" w:fill="FFFFFF" w:themeFill="background1"/>
            <w:vAlign w:val="center"/>
          </w:tcPr>
          <w:p w14:paraId="5E1A580F" w14:textId="77777777" w:rsidR="00920693" w:rsidRDefault="00920693" w:rsidP="00E62414">
            <w:pPr>
              <w:rPr>
                <w:rFonts w:asciiTheme="majorHAnsi" w:hAnsiTheme="majorHAnsi"/>
              </w:rPr>
            </w:pPr>
            <w:r>
              <w:rPr>
                <w:rFonts w:asciiTheme="majorHAnsi" w:hAnsiTheme="majorHAnsi"/>
              </w:rPr>
              <w:t>TBD</w:t>
            </w:r>
          </w:p>
          <w:p w14:paraId="27D5A6C0" w14:textId="77777777" w:rsidR="00920693" w:rsidRPr="00C417CB" w:rsidRDefault="00920693" w:rsidP="006932F4">
            <w:pPr>
              <w:spacing w:before="120"/>
              <w:rPr>
                <w:rFonts w:asciiTheme="majorHAnsi" w:hAnsiTheme="majorHAnsi"/>
                <w:i/>
                <w:u w:val="single"/>
              </w:rPr>
            </w:pPr>
            <w:r w:rsidRPr="00C417CB">
              <w:rPr>
                <w:rFonts w:asciiTheme="majorHAnsi" w:hAnsiTheme="majorHAnsi"/>
                <w:i/>
                <w:u w:val="single"/>
              </w:rPr>
              <w:t>Action items / key next items</w:t>
            </w:r>
          </w:p>
          <w:p w14:paraId="297FB6EE" w14:textId="6BFEAD4E" w:rsidR="00920693" w:rsidRPr="006932F4" w:rsidRDefault="00920693" w:rsidP="004362FD">
            <w:pPr>
              <w:spacing w:before="120"/>
              <w:rPr>
                <w:rFonts w:asciiTheme="majorHAnsi" w:hAnsiTheme="majorHAnsi"/>
              </w:rPr>
            </w:pPr>
            <w:r>
              <w:rPr>
                <w:rFonts w:asciiTheme="majorHAnsi" w:hAnsiTheme="majorHAnsi"/>
              </w:rPr>
              <w:t>Related activities are proposed in the WGPD WorkPlan 2020-2022; Initial exploratory talks are being carried out with World Bank/IMF, IDI, and other stakeholders.</w:t>
            </w:r>
          </w:p>
        </w:tc>
      </w:tr>
      <w:tr w:rsidR="00920693" w:rsidRPr="00AC6896" w14:paraId="01222FBF" w14:textId="09C63B05" w:rsidTr="00920693">
        <w:trPr>
          <w:trHeight w:val="805"/>
        </w:trPr>
        <w:tc>
          <w:tcPr>
            <w:tcW w:w="2181" w:type="dxa"/>
            <w:vMerge w:val="restart"/>
          </w:tcPr>
          <w:p w14:paraId="418B033A" w14:textId="75E65F92" w:rsidR="00920693" w:rsidRPr="00AC6896" w:rsidRDefault="00920693" w:rsidP="002A621D">
            <w:pPr>
              <w:spacing w:before="120"/>
              <w:rPr>
                <w:rFonts w:asciiTheme="majorHAnsi" w:hAnsiTheme="majorHAnsi"/>
              </w:rPr>
            </w:pPr>
          </w:p>
        </w:tc>
        <w:tc>
          <w:tcPr>
            <w:tcW w:w="5100" w:type="dxa"/>
            <w:shd w:val="clear" w:color="auto" w:fill="auto"/>
          </w:tcPr>
          <w:p w14:paraId="0D0795B3" w14:textId="57234FF3" w:rsidR="00920693" w:rsidRPr="007326AB" w:rsidRDefault="00920693" w:rsidP="002A621D">
            <w:pPr>
              <w:autoSpaceDE w:val="0"/>
              <w:autoSpaceDN w:val="0"/>
              <w:adjustRightInd w:val="0"/>
              <w:spacing w:before="120" w:line="240" w:lineRule="auto"/>
              <w:rPr>
                <w:rFonts w:asciiTheme="majorHAnsi" w:hAnsiTheme="majorHAnsi"/>
              </w:rPr>
            </w:pPr>
            <w:r w:rsidRPr="006A31FF">
              <w:rPr>
                <w:rFonts w:asciiTheme="majorHAnsi" w:hAnsiTheme="majorHAnsi"/>
              </w:rPr>
              <w:t>Stakeholder engagement: The KSC, other strategic goal committees, IDI, INTOSAI regional organizations, the Supervisory Committee on Emerging Issues</w:t>
            </w:r>
            <w:r>
              <w:rPr>
                <w:rFonts w:asciiTheme="majorHAnsi" w:hAnsiTheme="majorHAnsi"/>
              </w:rPr>
              <w:t>,</w:t>
            </w:r>
            <w:r w:rsidRPr="006A31FF">
              <w:rPr>
                <w:rFonts w:asciiTheme="majorHAnsi" w:hAnsiTheme="majorHAnsi"/>
              </w:rPr>
              <w:t xml:space="preserve"> and the INTOSAI General Secretariat work together to avoid duplication of work and for greater synergy.</w:t>
            </w:r>
          </w:p>
        </w:tc>
        <w:tc>
          <w:tcPr>
            <w:tcW w:w="3780" w:type="dxa"/>
            <w:shd w:val="clear" w:color="auto" w:fill="auto"/>
          </w:tcPr>
          <w:p w14:paraId="7706AE65" w14:textId="1E1D3B33" w:rsidR="00920693" w:rsidRPr="007326AB" w:rsidRDefault="00920693" w:rsidP="002A621D">
            <w:pPr>
              <w:spacing w:before="120"/>
              <w:rPr>
                <w:rFonts w:asciiTheme="majorHAnsi" w:hAnsiTheme="majorHAnsi"/>
              </w:rPr>
            </w:pPr>
            <w:r w:rsidRPr="00C04895">
              <w:rPr>
                <w:rFonts w:asciiTheme="majorHAnsi" w:hAnsiTheme="majorHAnsi"/>
                <w:shd w:val="clear" w:color="auto" w:fill="92D050"/>
              </w:rPr>
              <w:t>Developed participation guidelines for the WG’s members.</w:t>
            </w:r>
          </w:p>
        </w:tc>
        <w:tc>
          <w:tcPr>
            <w:tcW w:w="5580" w:type="dxa"/>
            <w:shd w:val="clear" w:color="auto" w:fill="FFFFFF" w:themeFill="background1"/>
          </w:tcPr>
          <w:p w14:paraId="7F52F924" w14:textId="77777777" w:rsidR="00920693" w:rsidRPr="006F30DC" w:rsidRDefault="00920693" w:rsidP="00025FA0">
            <w:pPr>
              <w:spacing w:before="120" w:line="240" w:lineRule="auto"/>
              <w:jc w:val="both"/>
              <w:rPr>
                <w:rFonts w:asciiTheme="majorHAnsi" w:hAnsiTheme="majorHAnsi"/>
                <w:i/>
                <w:u w:val="single"/>
                <w:lang w:val="en-PH"/>
              </w:rPr>
            </w:pPr>
            <w:r w:rsidRPr="006F30DC">
              <w:rPr>
                <w:rFonts w:asciiTheme="majorHAnsi" w:hAnsiTheme="majorHAnsi"/>
                <w:i/>
                <w:u w:val="single"/>
                <w:lang w:val="en-PH"/>
              </w:rPr>
              <w:t>Progress to date</w:t>
            </w:r>
          </w:p>
          <w:p w14:paraId="2437AB77" w14:textId="76537327" w:rsidR="00920693" w:rsidRDefault="00920693" w:rsidP="00552AA2">
            <w:pPr>
              <w:spacing w:before="120" w:line="240" w:lineRule="auto"/>
              <w:jc w:val="both"/>
              <w:rPr>
                <w:rFonts w:asciiTheme="majorHAnsi" w:hAnsiTheme="majorHAnsi"/>
              </w:rPr>
            </w:pPr>
            <w:r>
              <w:rPr>
                <w:rFonts w:asciiTheme="majorHAnsi" w:hAnsiTheme="majorHAnsi"/>
              </w:rPr>
              <w:t xml:space="preserve">WGPD has collaborated with the IDI on the QA process for co-branding of the non-IFPP document and IDI Global Public Goods, specifically the Handbook on Audit of Public Debt Management: A Guide for SAIs. </w:t>
            </w:r>
          </w:p>
          <w:p w14:paraId="53455C40" w14:textId="77777777" w:rsidR="00920693" w:rsidRPr="006F30DC" w:rsidRDefault="00920693" w:rsidP="00552AA2">
            <w:pPr>
              <w:spacing w:before="120" w:line="240" w:lineRule="auto"/>
              <w:jc w:val="both"/>
              <w:rPr>
                <w:rFonts w:asciiTheme="majorHAnsi" w:hAnsiTheme="majorHAnsi"/>
                <w:i/>
                <w:u w:val="single"/>
                <w:lang w:val="en-PH"/>
              </w:rPr>
            </w:pPr>
            <w:r>
              <w:rPr>
                <w:rFonts w:asciiTheme="majorHAnsi" w:hAnsiTheme="majorHAnsi"/>
                <w:i/>
                <w:u w:val="single"/>
                <w:lang w:val="en-PH"/>
              </w:rPr>
              <w:t>Action items / key next items</w:t>
            </w:r>
          </w:p>
          <w:p w14:paraId="5A0F180A" w14:textId="77777777" w:rsidR="00920693" w:rsidRDefault="00920693" w:rsidP="00F67A14">
            <w:pPr>
              <w:pStyle w:val="ListParagraph"/>
              <w:numPr>
                <w:ilvl w:val="0"/>
                <w:numId w:val="41"/>
              </w:numPr>
              <w:spacing w:before="120" w:after="120" w:line="240" w:lineRule="auto"/>
              <w:ind w:left="360"/>
              <w:jc w:val="both"/>
              <w:rPr>
                <w:rFonts w:asciiTheme="majorHAnsi" w:hAnsiTheme="majorHAnsi"/>
              </w:rPr>
            </w:pPr>
            <w:r w:rsidRPr="00F67A14">
              <w:rPr>
                <w:rFonts w:asciiTheme="majorHAnsi" w:hAnsiTheme="majorHAnsi"/>
              </w:rPr>
              <w:t>WGPD shall develop internal guidelines on the QA process for co-branding of this Handbook in support of the Certification to be issued by the WGPD Chair and the Goal Chair.</w:t>
            </w:r>
          </w:p>
          <w:p w14:paraId="27DE166A" w14:textId="77777777" w:rsidR="00F67A14" w:rsidRDefault="00F67A14" w:rsidP="00F67A14">
            <w:pPr>
              <w:pStyle w:val="ListParagraph"/>
              <w:numPr>
                <w:ilvl w:val="0"/>
                <w:numId w:val="41"/>
              </w:numPr>
              <w:spacing w:before="120" w:after="120" w:line="240" w:lineRule="auto"/>
              <w:ind w:left="360"/>
              <w:jc w:val="both"/>
              <w:rPr>
                <w:rFonts w:asciiTheme="majorHAnsi" w:hAnsiTheme="majorHAnsi"/>
              </w:rPr>
            </w:pPr>
            <w:r>
              <w:rPr>
                <w:rFonts w:asciiTheme="majorHAnsi" w:hAnsiTheme="majorHAnsi"/>
              </w:rPr>
              <w:t xml:space="preserve">The WGPD is monitoring the adoption of the Handbook by the IDI to enable the WGPD to formalize the co-branding process. </w:t>
            </w:r>
          </w:p>
          <w:p w14:paraId="26F0DB84" w14:textId="6ED71E0B" w:rsidR="00F67A14" w:rsidRPr="00F67A14" w:rsidRDefault="00F67A14" w:rsidP="004362FD">
            <w:pPr>
              <w:pStyle w:val="ListParagraph"/>
              <w:numPr>
                <w:ilvl w:val="0"/>
                <w:numId w:val="41"/>
              </w:numPr>
              <w:spacing w:before="120" w:line="240" w:lineRule="auto"/>
              <w:ind w:left="360"/>
              <w:jc w:val="both"/>
              <w:rPr>
                <w:rFonts w:asciiTheme="majorHAnsi" w:hAnsiTheme="majorHAnsi"/>
              </w:rPr>
            </w:pPr>
            <w:r>
              <w:rPr>
                <w:rFonts w:asciiTheme="majorHAnsi" w:hAnsiTheme="majorHAnsi"/>
              </w:rPr>
              <w:t xml:space="preserve">The WGPD intends to disseminate/circulate the adopted Handbook to all its members via email and the COP for comment and to conduct a formal signing of the certification by the WGPD Chair at the WGPD Annual Meeting in May. </w:t>
            </w:r>
          </w:p>
        </w:tc>
      </w:tr>
      <w:tr w:rsidR="00920693" w:rsidRPr="00AC6896" w14:paraId="64719A87" w14:textId="77D31957" w:rsidTr="00920693">
        <w:trPr>
          <w:trHeight w:val="1255"/>
        </w:trPr>
        <w:tc>
          <w:tcPr>
            <w:tcW w:w="2181" w:type="dxa"/>
            <w:vMerge/>
          </w:tcPr>
          <w:p w14:paraId="178E6F3B" w14:textId="0E0EA585" w:rsidR="00920693" w:rsidRPr="006A31FF" w:rsidRDefault="00920693" w:rsidP="002A621D">
            <w:pPr>
              <w:spacing w:before="120"/>
              <w:rPr>
                <w:rFonts w:asciiTheme="majorHAnsi" w:hAnsiTheme="majorHAnsi"/>
              </w:rPr>
            </w:pPr>
          </w:p>
        </w:tc>
        <w:tc>
          <w:tcPr>
            <w:tcW w:w="5100" w:type="dxa"/>
            <w:shd w:val="clear" w:color="auto" w:fill="auto"/>
          </w:tcPr>
          <w:p w14:paraId="4E4DF0CB" w14:textId="5773954F" w:rsidR="00920693" w:rsidRPr="006A31FF" w:rsidRDefault="00920693" w:rsidP="002A621D">
            <w:pPr>
              <w:pStyle w:val="Default"/>
              <w:spacing w:before="120" w:after="129"/>
              <w:rPr>
                <w:rFonts w:asciiTheme="majorHAnsi" w:hAnsiTheme="majorHAnsi"/>
                <w:sz w:val="20"/>
                <w:szCs w:val="20"/>
              </w:rPr>
            </w:pPr>
            <w:r w:rsidRPr="00AC6896">
              <w:rPr>
                <w:rFonts w:asciiTheme="majorHAnsi" w:hAnsiTheme="majorHAnsi"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3780" w:type="dxa"/>
            <w:shd w:val="clear" w:color="auto" w:fill="auto"/>
          </w:tcPr>
          <w:p w14:paraId="1F1B703B" w14:textId="1F4D1EB6" w:rsidR="00920693" w:rsidRDefault="00920693" w:rsidP="002A621D">
            <w:pPr>
              <w:spacing w:before="120"/>
              <w:rPr>
                <w:rFonts w:asciiTheme="majorHAnsi" w:hAnsiTheme="majorHAnsi"/>
              </w:rPr>
            </w:pPr>
            <w:r>
              <w:rPr>
                <w:rFonts w:asciiTheme="majorHAnsi" w:hAnsiTheme="majorHAnsi"/>
              </w:rPr>
              <w:t xml:space="preserve">TBD  </w:t>
            </w:r>
          </w:p>
        </w:tc>
        <w:tc>
          <w:tcPr>
            <w:tcW w:w="5580" w:type="dxa"/>
            <w:shd w:val="clear" w:color="auto" w:fill="FFFFFF" w:themeFill="background1"/>
          </w:tcPr>
          <w:p w14:paraId="7AAD465F" w14:textId="43180FA7" w:rsidR="00920693" w:rsidRDefault="00920693" w:rsidP="002A621D">
            <w:pPr>
              <w:spacing w:before="120"/>
              <w:rPr>
                <w:rFonts w:asciiTheme="majorHAnsi" w:hAnsiTheme="majorHAnsi"/>
              </w:rPr>
            </w:pPr>
            <w:r>
              <w:rPr>
                <w:rFonts w:asciiTheme="majorHAnsi" w:hAnsiTheme="majorHAnsi"/>
              </w:rPr>
              <w:t>TBD</w:t>
            </w:r>
          </w:p>
        </w:tc>
      </w:tr>
      <w:tr w:rsidR="000D7D49" w:rsidRPr="00AC6896" w14:paraId="088E2EEC" w14:textId="640B7576" w:rsidTr="000D7D49">
        <w:trPr>
          <w:trHeight w:val="4387"/>
        </w:trPr>
        <w:tc>
          <w:tcPr>
            <w:tcW w:w="2181" w:type="dxa"/>
            <w:vMerge/>
          </w:tcPr>
          <w:p w14:paraId="75421C29" w14:textId="77777777" w:rsidR="000D7D49" w:rsidRPr="006A31FF" w:rsidRDefault="000D7D49" w:rsidP="000D7D49">
            <w:pPr>
              <w:spacing w:before="120"/>
              <w:rPr>
                <w:rFonts w:asciiTheme="majorHAnsi" w:hAnsiTheme="majorHAnsi"/>
              </w:rPr>
            </w:pPr>
          </w:p>
        </w:tc>
        <w:tc>
          <w:tcPr>
            <w:tcW w:w="5100" w:type="dxa"/>
            <w:shd w:val="clear" w:color="auto" w:fill="auto"/>
          </w:tcPr>
          <w:p w14:paraId="043F390D" w14:textId="39AAC51B" w:rsidR="000D7D49" w:rsidRPr="00AC6896" w:rsidRDefault="000D7D49" w:rsidP="000D7D49">
            <w:pPr>
              <w:pStyle w:val="Default"/>
              <w:spacing w:before="120" w:after="129"/>
              <w:rPr>
                <w:rFonts w:asciiTheme="majorHAnsi" w:hAnsiTheme="majorHAnsi" w:cs="Times New Roman"/>
                <w:color w:val="auto"/>
                <w:sz w:val="20"/>
                <w:szCs w:val="20"/>
              </w:rPr>
            </w:pPr>
            <w:r w:rsidRPr="00AC6896">
              <w:rPr>
                <w:rFonts w:asciiTheme="majorHAnsi" w:hAnsiTheme="majorHAnsi" w:cs="Times New Roman"/>
                <w:color w:val="auto"/>
                <w:sz w:val="20"/>
                <w:szCs w:val="20"/>
              </w:rPr>
              <w:t xml:space="preserve">Cooperate with and leverage the efforts of </w:t>
            </w:r>
            <w:r>
              <w:rPr>
                <w:rFonts w:asciiTheme="majorHAnsi" w:hAnsiTheme="majorHAnsi" w:cs="Times New Roman"/>
                <w:color w:val="auto"/>
                <w:sz w:val="20"/>
                <w:szCs w:val="20"/>
              </w:rPr>
              <w:t>t</w:t>
            </w:r>
            <w:r w:rsidRPr="00AC6896">
              <w:rPr>
                <w:rFonts w:asciiTheme="majorHAnsi" w:hAnsiTheme="majorHAnsi" w:cs="Times New Roman"/>
                <w:color w:val="auto"/>
                <w:sz w:val="20"/>
                <w:szCs w:val="20"/>
              </w:rPr>
              <w:t xml:space="preserve">he International Journal of Government Auditing and the General Secretariat to expand the use of social media, video, and interactive tools to ensure “real-time” communication across INTOSAI, its partners, and with other interested parties. </w:t>
            </w:r>
          </w:p>
        </w:tc>
        <w:tc>
          <w:tcPr>
            <w:tcW w:w="3780" w:type="dxa"/>
            <w:shd w:val="clear" w:color="auto" w:fill="auto"/>
          </w:tcPr>
          <w:p w14:paraId="087C476C" w14:textId="16360A4D" w:rsidR="000D7D49" w:rsidRPr="009A13F9" w:rsidRDefault="000D7D49" w:rsidP="000D7D49">
            <w:pPr>
              <w:spacing w:before="120" w:after="120" w:line="240" w:lineRule="auto"/>
              <w:rPr>
                <w:rFonts w:asciiTheme="majorHAnsi" w:hAnsiTheme="majorHAnsi"/>
              </w:rPr>
            </w:pPr>
            <w:r w:rsidRPr="00C04895">
              <w:rPr>
                <w:rFonts w:asciiTheme="majorHAnsi" w:hAnsiTheme="majorHAnsi"/>
                <w:shd w:val="clear" w:color="auto" w:fill="92D050"/>
              </w:rPr>
              <w:t>Established close coordination with the KSC-IDI, INTOSAI General Secretariat (Website), and US GAO (Journal) for the timely publication of WGPD outputs on public debt auditing issues.</w:t>
            </w:r>
            <w:r>
              <w:rPr>
                <w:rFonts w:asciiTheme="majorHAnsi" w:hAnsiTheme="majorHAnsi"/>
              </w:rPr>
              <w:t xml:space="preserve">  </w:t>
            </w:r>
          </w:p>
        </w:tc>
        <w:tc>
          <w:tcPr>
            <w:tcW w:w="5580" w:type="dxa"/>
            <w:shd w:val="clear" w:color="auto" w:fill="FFFFFF" w:themeFill="background1"/>
          </w:tcPr>
          <w:p w14:paraId="4A573B9C" w14:textId="77777777" w:rsidR="000D7D49" w:rsidRDefault="000D7D49" w:rsidP="000D7D49">
            <w:pPr>
              <w:spacing w:before="120" w:line="240" w:lineRule="auto"/>
              <w:jc w:val="both"/>
              <w:rPr>
                <w:rFonts w:asciiTheme="majorHAnsi" w:hAnsiTheme="majorHAnsi"/>
                <w:i/>
                <w:u w:val="single"/>
                <w:lang w:val="en-PH"/>
              </w:rPr>
            </w:pPr>
            <w:r>
              <w:rPr>
                <w:rFonts w:asciiTheme="majorHAnsi" w:hAnsiTheme="majorHAnsi"/>
                <w:i/>
                <w:u w:val="single"/>
                <w:lang w:val="en-PH"/>
              </w:rPr>
              <w:t>Progress to date</w:t>
            </w:r>
          </w:p>
          <w:p w14:paraId="0F96BE7E" w14:textId="77777777" w:rsidR="000D7D49" w:rsidRDefault="000D7D49" w:rsidP="000D7D49">
            <w:pPr>
              <w:spacing w:before="120" w:line="240" w:lineRule="auto"/>
              <w:rPr>
                <w:rFonts w:asciiTheme="majorHAnsi" w:eastAsiaTheme="minorHAnsi" w:hAnsiTheme="majorHAnsi" w:cstheme="minorBidi"/>
                <w:sz w:val="22"/>
                <w:szCs w:val="22"/>
                <w:lang w:val="en-PH"/>
              </w:rPr>
            </w:pPr>
            <w:r>
              <w:rPr>
                <w:rFonts w:asciiTheme="majorHAnsi" w:hAnsiTheme="majorHAnsi"/>
              </w:rPr>
              <w:t>On 7 November 2018, the Secretariat submitted to the KSC the Minutes of the Meeting (MOM) of the 2018 WGPD meeting.</w:t>
            </w:r>
          </w:p>
          <w:p w14:paraId="2516B40D" w14:textId="77777777" w:rsidR="000D7D49" w:rsidRDefault="000D7D49" w:rsidP="000D7D49">
            <w:pPr>
              <w:spacing w:before="120" w:line="240" w:lineRule="auto"/>
              <w:rPr>
                <w:rFonts w:asciiTheme="majorHAnsi" w:hAnsiTheme="majorHAnsi"/>
                <w:lang w:val="en-PH"/>
              </w:rPr>
            </w:pPr>
            <w:r>
              <w:rPr>
                <w:rFonts w:asciiTheme="majorHAnsi" w:hAnsiTheme="majorHAnsi"/>
                <w:lang w:val="en-PH"/>
              </w:rPr>
              <w:t>In the INTOSAI Governing Board Meeting last 15-16 November 2018 in Moscow, Russia, the Revised Terms of Reference of the WGPD was approved.</w:t>
            </w:r>
          </w:p>
          <w:p w14:paraId="73062D1D" w14:textId="77777777" w:rsidR="000D7D49" w:rsidRDefault="000D7D49" w:rsidP="000D7D49">
            <w:pPr>
              <w:spacing w:before="120" w:line="240" w:lineRule="auto"/>
              <w:rPr>
                <w:rFonts w:asciiTheme="majorHAnsi" w:hAnsiTheme="majorHAnsi"/>
                <w:lang w:val="en-PH"/>
              </w:rPr>
            </w:pPr>
            <w:r>
              <w:rPr>
                <w:rFonts w:asciiTheme="majorHAnsi" w:hAnsiTheme="majorHAnsi"/>
                <w:lang w:val="en-PH"/>
              </w:rPr>
              <w:t>“WGPD meets India”, an article highlighting the agreements reached in the 2018 Annual Meeting of the WGPD was published in INTOSAI Journal Autumn of 2018 edition.</w:t>
            </w:r>
          </w:p>
          <w:p w14:paraId="4EFD9BEF" w14:textId="77777777" w:rsidR="000D7D49" w:rsidRPr="006F30DC" w:rsidRDefault="000D7D49" w:rsidP="000D7D49">
            <w:pPr>
              <w:spacing w:before="120" w:line="240" w:lineRule="auto"/>
              <w:jc w:val="both"/>
              <w:rPr>
                <w:rFonts w:asciiTheme="majorHAnsi" w:hAnsiTheme="majorHAnsi"/>
                <w:i/>
                <w:u w:val="single"/>
                <w:lang w:val="en-PH"/>
              </w:rPr>
            </w:pPr>
            <w:r>
              <w:rPr>
                <w:rFonts w:asciiTheme="majorHAnsi" w:hAnsiTheme="majorHAnsi"/>
                <w:i/>
                <w:u w:val="single"/>
                <w:lang w:val="en-PH"/>
              </w:rPr>
              <w:t>Action items / key next items</w:t>
            </w:r>
          </w:p>
          <w:p w14:paraId="50312611" w14:textId="7253F6F7" w:rsidR="000D7D49" w:rsidRPr="006F30DC" w:rsidRDefault="000D7D49" w:rsidP="000D7D49">
            <w:pPr>
              <w:spacing w:before="120" w:after="120" w:line="240" w:lineRule="auto"/>
              <w:jc w:val="both"/>
              <w:rPr>
                <w:rFonts w:asciiTheme="majorHAnsi" w:hAnsiTheme="majorHAnsi"/>
                <w:lang w:val="en-PH"/>
              </w:rPr>
            </w:pPr>
            <w:r>
              <w:rPr>
                <w:rFonts w:asciiTheme="majorHAnsi" w:hAnsiTheme="majorHAnsi"/>
                <w:lang w:val="en-PH"/>
              </w:rPr>
              <w:t>In anticipation of the upcoming 2019 WGPD meeting which will be held on 23-</w:t>
            </w:r>
            <w:r w:rsidRPr="0056792A">
              <w:rPr>
                <w:rFonts w:asciiTheme="majorHAnsi" w:hAnsiTheme="majorHAnsi"/>
                <w:lang w:val="en-PH"/>
              </w:rPr>
              <w:t>25 M</w:t>
            </w:r>
            <w:r>
              <w:rPr>
                <w:rFonts w:asciiTheme="majorHAnsi" w:hAnsiTheme="majorHAnsi"/>
                <w:lang w:val="en-PH"/>
              </w:rPr>
              <w:t xml:space="preserve">ay 2019 in Baku, Azerbaijan, the Secretariat shall maintain close coordination with </w:t>
            </w:r>
            <w:r w:rsidRPr="0056792A">
              <w:rPr>
                <w:rFonts w:asciiTheme="majorHAnsi" w:hAnsiTheme="majorHAnsi"/>
                <w:lang w:val="en-PH"/>
              </w:rPr>
              <w:t>the KSC-IDI, INTOSAI General Secretariat, and US GAO for the timely publication of WGPD outputs and reports.</w:t>
            </w:r>
          </w:p>
        </w:tc>
      </w:tr>
    </w:tbl>
    <w:p w14:paraId="51AAD7EB" w14:textId="5E340DCF" w:rsidR="009F715C" w:rsidRPr="00AC6896" w:rsidRDefault="009F715C">
      <w:pPr>
        <w:rPr>
          <w:rFonts w:asciiTheme="majorHAnsi" w:eastAsia="Times New Roman" w:hAnsiTheme="majorHAnsi" w:cs="Times New Roman"/>
          <w:sz w:val="20"/>
          <w:szCs w:val="20"/>
          <w:lang w:val="en-US"/>
        </w:rPr>
      </w:pPr>
    </w:p>
    <w:sectPr w:rsidR="009F715C" w:rsidRPr="00AC6896" w:rsidSect="00D3784E">
      <w:footerReference w:type="default" r:id="rId9"/>
      <w:pgSz w:w="18720" w:h="12240" w:orient="landscape" w:code="14"/>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E632D" w14:textId="77777777" w:rsidR="009231B4" w:rsidRDefault="009231B4" w:rsidP="00130036">
      <w:pPr>
        <w:spacing w:after="0" w:line="240" w:lineRule="auto"/>
      </w:pPr>
      <w:r>
        <w:separator/>
      </w:r>
    </w:p>
  </w:endnote>
  <w:endnote w:type="continuationSeparator" w:id="0">
    <w:p w14:paraId="48CF5153" w14:textId="77777777" w:rsidR="009231B4" w:rsidRDefault="009231B4"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04269"/>
      <w:docPartObj>
        <w:docPartGallery w:val="Page Numbers (Bottom of Page)"/>
        <w:docPartUnique/>
      </w:docPartObj>
    </w:sdtPr>
    <w:sdtEndPr>
      <w:rPr>
        <w:noProof/>
      </w:rPr>
    </w:sdtEndPr>
    <w:sdtContent>
      <w:p w14:paraId="197FE24B" w14:textId="553CDD7A" w:rsidR="00130036" w:rsidRDefault="00130036">
        <w:pPr>
          <w:pStyle w:val="Footer"/>
          <w:jc w:val="center"/>
        </w:pPr>
        <w:r>
          <w:fldChar w:fldCharType="begin"/>
        </w:r>
        <w:r>
          <w:instrText xml:space="preserve"> PAGE   \* MERGEFORMAT </w:instrText>
        </w:r>
        <w:r>
          <w:fldChar w:fldCharType="separate"/>
        </w:r>
        <w:r w:rsidR="00CF1DF2">
          <w:rPr>
            <w:noProof/>
          </w:rPr>
          <w:t>5</w:t>
        </w:r>
        <w:r>
          <w:rPr>
            <w:noProof/>
          </w:rPr>
          <w:fldChar w:fldCharType="end"/>
        </w:r>
      </w:p>
    </w:sdtContent>
  </w:sdt>
  <w:p w14:paraId="5A1926BE" w14:textId="77777777" w:rsidR="00130036" w:rsidRDefault="001300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6F58F" w14:textId="77777777" w:rsidR="009231B4" w:rsidRDefault="009231B4" w:rsidP="00130036">
      <w:pPr>
        <w:spacing w:after="0" w:line="240" w:lineRule="auto"/>
      </w:pPr>
      <w:r>
        <w:separator/>
      </w:r>
    </w:p>
  </w:footnote>
  <w:footnote w:type="continuationSeparator" w:id="0">
    <w:p w14:paraId="33A15F12" w14:textId="77777777" w:rsidR="009231B4" w:rsidRDefault="009231B4" w:rsidP="00130036">
      <w:pPr>
        <w:spacing w:after="0" w:line="240" w:lineRule="auto"/>
      </w:pPr>
      <w:r>
        <w:continuationSeparator/>
      </w:r>
    </w:p>
  </w:footnote>
  <w:footnote w:id="1">
    <w:p w14:paraId="7D03250B" w14:textId="77777777" w:rsidR="00920693" w:rsidRPr="003A55C8" w:rsidRDefault="00920693" w:rsidP="00FF5E3A">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(i)</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r>
        <w:rPr>
          <w:sz w:val="16"/>
          <w:szCs w:val="16"/>
        </w:rPr>
        <w:t>Appropriate colour may be chosen as the background of the cell.</w:t>
      </w:r>
    </w:p>
  </w:footnote>
  <w:footnote w:id="2">
    <w:p w14:paraId="7CB122BC" w14:textId="77777777" w:rsidR="00920693" w:rsidRDefault="00920693" w:rsidP="00FF5E3A">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r>
        <w:rPr>
          <w:sz w:val="16"/>
          <w:szCs w:val="16"/>
        </w:rPr>
        <w:t>T</w:t>
      </w:r>
      <w:r w:rsidRPr="00711677">
        <w:rPr>
          <w:sz w:val="16"/>
          <w:szCs w:val="16"/>
        </w:rPr>
        <w:t>he progress achieved till date and the key items/next steps needed to ensure continued progress towards each objective and to manage risks may be indicated here.</w:t>
      </w:r>
    </w:p>
    <w:p w14:paraId="328E7D5C" w14:textId="77777777" w:rsidR="00920693" w:rsidRPr="003A55C8" w:rsidRDefault="00920693" w:rsidP="00FF5E3A">
      <w:pPr>
        <w:pStyle w:val="FootnoteText"/>
        <w:ind w:left="284" w:hanging="284"/>
        <w:rPr>
          <w:sz w:val="16"/>
          <w:szCs w:val="16"/>
        </w:rPr>
      </w:pPr>
    </w:p>
  </w:footnote>
  <w:footnote w:id="3">
    <w:p w14:paraId="1F6BFE07" w14:textId="77777777" w:rsidR="00920693" w:rsidRPr="00A75398" w:rsidRDefault="00920693">
      <w:pPr>
        <w:pStyle w:val="FootnoteText"/>
        <w:rPr>
          <w:lang w:val="en-US"/>
        </w:rPr>
      </w:pPr>
      <w:r>
        <w:rPr>
          <w:rStyle w:val="FootnoteReference"/>
        </w:rPr>
        <w:footnoteRef/>
      </w:r>
      <w:r>
        <w:t xml:space="preserve"> A row may be added for each activity like Workshop, trainings</w:t>
      </w:r>
      <w:r>
        <w:rPr>
          <w:rFonts w:asciiTheme="majorHAnsi" w:hAnsiTheme="majorHAnsi"/>
        </w:rPr>
        <w:t xml:space="preserve">, benchmarking exercise, joint/ collaborative audits, outreach activities etc.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613E"/>
    <w:multiLevelType w:val="hybridMultilevel"/>
    <w:tmpl w:val="4A7A8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109A5"/>
    <w:multiLevelType w:val="hybridMultilevel"/>
    <w:tmpl w:val="ACAA6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622A8"/>
    <w:multiLevelType w:val="hybridMultilevel"/>
    <w:tmpl w:val="AFAE4580"/>
    <w:lvl w:ilvl="0" w:tplc="BA4EB33A">
      <w:start w:val="1"/>
      <w:numFmt w:val="lowerLetter"/>
      <w:lvlText w:val="%1."/>
      <w:lvlJc w:val="left"/>
      <w:pPr>
        <w:ind w:left="45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51A58"/>
    <w:multiLevelType w:val="hybridMultilevel"/>
    <w:tmpl w:val="A8AE8462"/>
    <w:lvl w:ilvl="0" w:tplc="34090001">
      <w:start w:val="1"/>
      <w:numFmt w:val="bullet"/>
      <w:lvlText w:val=""/>
      <w:lvlJc w:val="left"/>
      <w:pPr>
        <w:ind w:left="1055" w:hanging="360"/>
      </w:pPr>
      <w:rPr>
        <w:rFonts w:ascii="Symbol" w:hAnsi="Symbol" w:hint="default"/>
      </w:rPr>
    </w:lvl>
    <w:lvl w:ilvl="1" w:tplc="34090003" w:tentative="1">
      <w:start w:val="1"/>
      <w:numFmt w:val="bullet"/>
      <w:lvlText w:val="o"/>
      <w:lvlJc w:val="left"/>
      <w:pPr>
        <w:ind w:left="1775" w:hanging="360"/>
      </w:pPr>
      <w:rPr>
        <w:rFonts w:ascii="Courier New" w:hAnsi="Courier New" w:cs="Courier New" w:hint="default"/>
      </w:rPr>
    </w:lvl>
    <w:lvl w:ilvl="2" w:tplc="34090005" w:tentative="1">
      <w:start w:val="1"/>
      <w:numFmt w:val="bullet"/>
      <w:lvlText w:val=""/>
      <w:lvlJc w:val="left"/>
      <w:pPr>
        <w:ind w:left="2495" w:hanging="360"/>
      </w:pPr>
      <w:rPr>
        <w:rFonts w:ascii="Wingdings" w:hAnsi="Wingdings" w:hint="default"/>
      </w:rPr>
    </w:lvl>
    <w:lvl w:ilvl="3" w:tplc="34090001" w:tentative="1">
      <w:start w:val="1"/>
      <w:numFmt w:val="bullet"/>
      <w:lvlText w:val=""/>
      <w:lvlJc w:val="left"/>
      <w:pPr>
        <w:ind w:left="3215" w:hanging="360"/>
      </w:pPr>
      <w:rPr>
        <w:rFonts w:ascii="Symbol" w:hAnsi="Symbol" w:hint="default"/>
      </w:rPr>
    </w:lvl>
    <w:lvl w:ilvl="4" w:tplc="34090003" w:tentative="1">
      <w:start w:val="1"/>
      <w:numFmt w:val="bullet"/>
      <w:lvlText w:val="o"/>
      <w:lvlJc w:val="left"/>
      <w:pPr>
        <w:ind w:left="3935" w:hanging="360"/>
      </w:pPr>
      <w:rPr>
        <w:rFonts w:ascii="Courier New" w:hAnsi="Courier New" w:cs="Courier New" w:hint="default"/>
      </w:rPr>
    </w:lvl>
    <w:lvl w:ilvl="5" w:tplc="34090005" w:tentative="1">
      <w:start w:val="1"/>
      <w:numFmt w:val="bullet"/>
      <w:lvlText w:val=""/>
      <w:lvlJc w:val="left"/>
      <w:pPr>
        <w:ind w:left="4655" w:hanging="360"/>
      </w:pPr>
      <w:rPr>
        <w:rFonts w:ascii="Wingdings" w:hAnsi="Wingdings" w:hint="default"/>
      </w:rPr>
    </w:lvl>
    <w:lvl w:ilvl="6" w:tplc="34090001" w:tentative="1">
      <w:start w:val="1"/>
      <w:numFmt w:val="bullet"/>
      <w:lvlText w:val=""/>
      <w:lvlJc w:val="left"/>
      <w:pPr>
        <w:ind w:left="5375" w:hanging="360"/>
      </w:pPr>
      <w:rPr>
        <w:rFonts w:ascii="Symbol" w:hAnsi="Symbol" w:hint="default"/>
      </w:rPr>
    </w:lvl>
    <w:lvl w:ilvl="7" w:tplc="34090003" w:tentative="1">
      <w:start w:val="1"/>
      <w:numFmt w:val="bullet"/>
      <w:lvlText w:val="o"/>
      <w:lvlJc w:val="left"/>
      <w:pPr>
        <w:ind w:left="6095" w:hanging="360"/>
      </w:pPr>
      <w:rPr>
        <w:rFonts w:ascii="Courier New" w:hAnsi="Courier New" w:cs="Courier New" w:hint="default"/>
      </w:rPr>
    </w:lvl>
    <w:lvl w:ilvl="8" w:tplc="34090005" w:tentative="1">
      <w:start w:val="1"/>
      <w:numFmt w:val="bullet"/>
      <w:lvlText w:val=""/>
      <w:lvlJc w:val="left"/>
      <w:pPr>
        <w:ind w:left="6815" w:hanging="360"/>
      </w:pPr>
      <w:rPr>
        <w:rFonts w:ascii="Wingdings" w:hAnsi="Wingdings" w:hint="default"/>
      </w:rPr>
    </w:lvl>
  </w:abstractNum>
  <w:abstractNum w:abstractNumId="4" w15:restartNumberingAfterBreak="0">
    <w:nsid w:val="0A797BEC"/>
    <w:multiLevelType w:val="hybridMultilevel"/>
    <w:tmpl w:val="A3580950"/>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5" w15:restartNumberingAfterBreak="0">
    <w:nsid w:val="0D6D2F88"/>
    <w:multiLevelType w:val="hybridMultilevel"/>
    <w:tmpl w:val="AFAE4580"/>
    <w:lvl w:ilvl="0" w:tplc="BA4EB33A">
      <w:start w:val="1"/>
      <w:numFmt w:val="lowerLetter"/>
      <w:lvlText w:val="%1."/>
      <w:lvlJc w:val="left"/>
      <w:pPr>
        <w:ind w:left="45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25646"/>
    <w:multiLevelType w:val="hybridMultilevel"/>
    <w:tmpl w:val="AFAE4580"/>
    <w:lvl w:ilvl="0" w:tplc="BA4EB33A">
      <w:start w:val="1"/>
      <w:numFmt w:val="lowerLetter"/>
      <w:lvlText w:val="%1."/>
      <w:lvlJc w:val="left"/>
      <w:pPr>
        <w:ind w:left="45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17BA5"/>
    <w:multiLevelType w:val="hybridMultilevel"/>
    <w:tmpl w:val="6628A87E"/>
    <w:lvl w:ilvl="0" w:tplc="66C628E0">
      <w:start w:val="1"/>
      <w:numFmt w:val="decimal"/>
      <w:lvlText w:val="%1."/>
      <w:lvlJc w:val="left"/>
      <w:pPr>
        <w:tabs>
          <w:tab w:val="num" w:pos="720"/>
        </w:tabs>
        <w:ind w:left="720" w:hanging="360"/>
      </w:pPr>
    </w:lvl>
    <w:lvl w:ilvl="1" w:tplc="8CF88048" w:tentative="1">
      <w:start w:val="1"/>
      <w:numFmt w:val="decimal"/>
      <w:lvlText w:val="%2."/>
      <w:lvlJc w:val="left"/>
      <w:pPr>
        <w:tabs>
          <w:tab w:val="num" w:pos="1440"/>
        </w:tabs>
        <w:ind w:left="1440" w:hanging="360"/>
      </w:pPr>
    </w:lvl>
    <w:lvl w:ilvl="2" w:tplc="EB6C5650" w:tentative="1">
      <w:start w:val="1"/>
      <w:numFmt w:val="decimal"/>
      <w:lvlText w:val="%3."/>
      <w:lvlJc w:val="left"/>
      <w:pPr>
        <w:tabs>
          <w:tab w:val="num" w:pos="2160"/>
        </w:tabs>
        <w:ind w:left="2160" w:hanging="360"/>
      </w:pPr>
    </w:lvl>
    <w:lvl w:ilvl="3" w:tplc="CF3AA24E" w:tentative="1">
      <w:start w:val="1"/>
      <w:numFmt w:val="decimal"/>
      <w:lvlText w:val="%4."/>
      <w:lvlJc w:val="left"/>
      <w:pPr>
        <w:tabs>
          <w:tab w:val="num" w:pos="2880"/>
        </w:tabs>
        <w:ind w:left="2880" w:hanging="360"/>
      </w:pPr>
    </w:lvl>
    <w:lvl w:ilvl="4" w:tplc="38A226B2" w:tentative="1">
      <w:start w:val="1"/>
      <w:numFmt w:val="decimal"/>
      <w:lvlText w:val="%5."/>
      <w:lvlJc w:val="left"/>
      <w:pPr>
        <w:tabs>
          <w:tab w:val="num" w:pos="3600"/>
        </w:tabs>
        <w:ind w:left="3600" w:hanging="360"/>
      </w:pPr>
    </w:lvl>
    <w:lvl w:ilvl="5" w:tplc="0416F7F8" w:tentative="1">
      <w:start w:val="1"/>
      <w:numFmt w:val="decimal"/>
      <w:lvlText w:val="%6."/>
      <w:lvlJc w:val="left"/>
      <w:pPr>
        <w:tabs>
          <w:tab w:val="num" w:pos="4320"/>
        </w:tabs>
        <w:ind w:left="4320" w:hanging="360"/>
      </w:pPr>
    </w:lvl>
    <w:lvl w:ilvl="6" w:tplc="8144A014" w:tentative="1">
      <w:start w:val="1"/>
      <w:numFmt w:val="decimal"/>
      <w:lvlText w:val="%7."/>
      <w:lvlJc w:val="left"/>
      <w:pPr>
        <w:tabs>
          <w:tab w:val="num" w:pos="5040"/>
        </w:tabs>
        <w:ind w:left="5040" w:hanging="360"/>
      </w:pPr>
    </w:lvl>
    <w:lvl w:ilvl="7" w:tplc="8EC23248" w:tentative="1">
      <w:start w:val="1"/>
      <w:numFmt w:val="decimal"/>
      <w:lvlText w:val="%8."/>
      <w:lvlJc w:val="left"/>
      <w:pPr>
        <w:tabs>
          <w:tab w:val="num" w:pos="5760"/>
        </w:tabs>
        <w:ind w:left="5760" w:hanging="360"/>
      </w:pPr>
    </w:lvl>
    <w:lvl w:ilvl="8" w:tplc="5F70E98E" w:tentative="1">
      <w:start w:val="1"/>
      <w:numFmt w:val="decimal"/>
      <w:lvlText w:val="%9."/>
      <w:lvlJc w:val="left"/>
      <w:pPr>
        <w:tabs>
          <w:tab w:val="num" w:pos="6480"/>
        </w:tabs>
        <w:ind w:left="6480" w:hanging="360"/>
      </w:pPr>
    </w:lvl>
  </w:abstractNum>
  <w:abstractNum w:abstractNumId="8" w15:restartNumberingAfterBreak="0">
    <w:nsid w:val="19034B22"/>
    <w:multiLevelType w:val="hybridMultilevel"/>
    <w:tmpl w:val="E3283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67D9D"/>
    <w:multiLevelType w:val="hybridMultilevel"/>
    <w:tmpl w:val="959AA8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19D0672E"/>
    <w:multiLevelType w:val="hybridMultilevel"/>
    <w:tmpl w:val="3A42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F5299"/>
    <w:multiLevelType w:val="hybridMultilevel"/>
    <w:tmpl w:val="B6BAAE42"/>
    <w:lvl w:ilvl="0" w:tplc="B7C457F4">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BA370EC"/>
    <w:multiLevelType w:val="hybridMultilevel"/>
    <w:tmpl w:val="C512D3F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7F45B4"/>
    <w:multiLevelType w:val="hybridMultilevel"/>
    <w:tmpl w:val="7D9A01C0"/>
    <w:lvl w:ilvl="0" w:tplc="1C09001B">
      <w:start w:val="1"/>
      <w:numFmt w:val="lowerRoman"/>
      <w:lvlText w:val="%1."/>
      <w:lvlJc w:val="right"/>
      <w:pPr>
        <w:ind w:left="612"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14" w15:restartNumberingAfterBreak="0">
    <w:nsid w:val="22D74401"/>
    <w:multiLevelType w:val="hybridMultilevel"/>
    <w:tmpl w:val="921E2666"/>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15" w15:restartNumberingAfterBreak="0">
    <w:nsid w:val="260430A6"/>
    <w:multiLevelType w:val="hybridMultilevel"/>
    <w:tmpl w:val="230E3346"/>
    <w:lvl w:ilvl="0" w:tplc="1C090005">
      <w:start w:val="1"/>
      <w:numFmt w:val="bullet"/>
      <w:lvlText w:val=""/>
      <w:lvlJc w:val="left"/>
      <w:pPr>
        <w:ind w:left="108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37A72E12"/>
    <w:multiLevelType w:val="hybridMultilevel"/>
    <w:tmpl w:val="AD7E5362"/>
    <w:lvl w:ilvl="0" w:tplc="1C09001B">
      <w:start w:val="1"/>
      <w:numFmt w:val="lowerRoman"/>
      <w:lvlText w:val="%1."/>
      <w:lvlJc w:val="right"/>
      <w:pPr>
        <w:ind w:left="754" w:hanging="72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17" w15:restartNumberingAfterBreak="0">
    <w:nsid w:val="3929193A"/>
    <w:multiLevelType w:val="hybridMultilevel"/>
    <w:tmpl w:val="66C63348"/>
    <w:lvl w:ilvl="0" w:tplc="04090019">
      <w:start w:val="1"/>
      <w:numFmt w:val="lowerLetter"/>
      <w:lvlText w:val="%1."/>
      <w:lvlJc w:val="left"/>
      <w:pPr>
        <w:ind w:left="720" w:hanging="360"/>
      </w:pPr>
      <w:rPr>
        <w:rFonts w:eastAsia="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B5184"/>
    <w:multiLevelType w:val="hybridMultilevel"/>
    <w:tmpl w:val="1BAE57B4"/>
    <w:lvl w:ilvl="0" w:tplc="1C090017">
      <w:start w:val="1"/>
      <w:numFmt w:val="lowerLetter"/>
      <w:lvlText w:val="%1)"/>
      <w:lvlJc w:val="lef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BF0178D"/>
    <w:multiLevelType w:val="hybridMultilevel"/>
    <w:tmpl w:val="51EC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D6CC7"/>
    <w:multiLevelType w:val="hybridMultilevel"/>
    <w:tmpl w:val="1DF0CB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D372FE9"/>
    <w:multiLevelType w:val="hybridMultilevel"/>
    <w:tmpl w:val="AFAE4580"/>
    <w:lvl w:ilvl="0" w:tplc="BA4EB33A">
      <w:start w:val="1"/>
      <w:numFmt w:val="lowerLetter"/>
      <w:lvlText w:val="%1."/>
      <w:lvlJc w:val="left"/>
      <w:pPr>
        <w:ind w:left="45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B4443"/>
    <w:multiLevelType w:val="hybridMultilevel"/>
    <w:tmpl w:val="896C9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27673FC"/>
    <w:multiLevelType w:val="multilevel"/>
    <w:tmpl w:val="7AAE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7369EC"/>
    <w:multiLevelType w:val="hybridMultilevel"/>
    <w:tmpl w:val="10666B64"/>
    <w:lvl w:ilvl="0" w:tplc="761EF106">
      <w:start w:val="1"/>
      <w:numFmt w:val="lowerLetter"/>
      <w:lvlText w:val="%1."/>
      <w:lvlJc w:val="left"/>
      <w:pPr>
        <w:ind w:left="720" w:hanging="360"/>
      </w:pPr>
      <w:rPr>
        <w:rFonts w:hint="default"/>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7" w15:restartNumberingAfterBreak="0">
    <w:nsid w:val="4C5E6927"/>
    <w:multiLevelType w:val="hybridMultilevel"/>
    <w:tmpl w:val="D0AA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F7986"/>
    <w:multiLevelType w:val="hybridMultilevel"/>
    <w:tmpl w:val="2A3CC0D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FC27C4C"/>
    <w:multiLevelType w:val="hybridMultilevel"/>
    <w:tmpl w:val="A3C09732"/>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30" w15:restartNumberingAfterBreak="0">
    <w:nsid w:val="52A70AB1"/>
    <w:multiLevelType w:val="hybridMultilevel"/>
    <w:tmpl w:val="8ED62B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B756D39"/>
    <w:multiLevelType w:val="hybridMultilevel"/>
    <w:tmpl w:val="E292B944"/>
    <w:lvl w:ilvl="0" w:tplc="1C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020740"/>
    <w:multiLevelType w:val="hybridMultilevel"/>
    <w:tmpl w:val="9500A9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61C3422B"/>
    <w:multiLevelType w:val="hybridMultilevel"/>
    <w:tmpl w:val="541C2CC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2F77367"/>
    <w:multiLevelType w:val="hybridMultilevel"/>
    <w:tmpl w:val="954877A0"/>
    <w:lvl w:ilvl="0" w:tplc="1C09001B">
      <w:start w:val="1"/>
      <w:numFmt w:val="lowerRoman"/>
      <w:lvlText w:val="%1."/>
      <w:lvlJc w:val="righ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6EC375D"/>
    <w:multiLevelType w:val="hybridMultilevel"/>
    <w:tmpl w:val="C61E14A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88F06AD"/>
    <w:multiLevelType w:val="hybridMultilevel"/>
    <w:tmpl w:val="373450E4"/>
    <w:lvl w:ilvl="0" w:tplc="9FE0D274">
      <w:start w:val="1"/>
      <w:numFmt w:val="decimal"/>
      <w:lvlText w:val="%1."/>
      <w:lvlJc w:val="left"/>
      <w:pPr>
        <w:ind w:left="6390" w:hanging="360"/>
      </w:pPr>
      <w:rPr>
        <w:rFonts w:hint="default"/>
      </w:rPr>
    </w:lvl>
    <w:lvl w:ilvl="1" w:tplc="34090019" w:tentative="1">
      <w:start w:val="1"/>
      <w:numFmt w:val="lowerLetter"/>
      <w:lvlText w:val="%2."/>
      <w:lvlJc w:val="left"/>
      <w:pPr>
        <w:ind w:left="7110" w:hanging="360"/>
      </w:pPr>
    </w:lvl>
    <w:lvl w:ilvl="2" w:tplc="3409001B" w:tentative="1">
      <w:start w:val="1"/>
      <w:numFmt w:val="lowerRoman"/>
      <w:lvlText w:val="%3."/>
      <w:lvlJc w:val="right"/>
      <w:pPr>
        <w:ind w:left="7830" w:hanging="180"/>
      </w:pPr>
    </w:lvl>
    <w:lvl w:ilvl="3" w:tplc="3409000F" w:tentative="1">
      <w:start w:val="1"/>
      <w:numFmt w:val="decimal"/>
      <w:lvlText w:val="%4."/>
      <w:lvlJc w:val="left"/>
      <w:pPr>
        <w:ind w:left="8550" w:hanging="360"/>
      </w:pPr>
    </w:lvl>
    <w:lvl w:ilvl="4" w:tplc="34090019" w:tentative="1">
      <w:start w:val="1"/>
      <w:numFmt w:val="lowerLetter"/>
      <w:lvlText w:val="%5."/>
      <w:lvlJc w:val="left"/>
      <w:pPr>
        <w:ind w:left="9270" w:hanging="360"/>
      </w:pPr>
    </w:lvl>
    <w:lvl w:ilvl="5" w:tplc="3409001B" w:tentative="1">
      <w:start w:val="1"/>
      <w:numFmt w:val="lowerRoman"/>
      <w:lvlText w:val="%6."/>
      <w:lvlJc w:val="right"/>
      <w:pPr>
        <w:ind w:left="9990" w:hanging="180"/>
      </w:pPr>
    </w:lvl>
    <w:lvl w:ilvl="6" w:tplc="3409000F" w:tentative="1">
      <w:start w:val="1"/>
      <w:numFmt w:val="decimal"/>
      <w:lvlText w:val="%7."/>
      <w:lvlJc w:val="left"/>
      <w:pPr>
        <w:ind w:left="10710" w:hanging="360"/>
      </w:pPr>
    </w:lvl>
    <w:lvl w:ilvl="7" w:tplc="34090019" w:tentative="1">
      <w:start w:val="1"/>
      <w:numFmt w:val="lowerLetter"/>
      <w:lvlText w:val="%8."/>
      <w:lvlJc w:val="left"/>
      <w:pPr>
        <w:ind w:left="11430" w:hanging="360"/>
      </w:pPr>
    </w:lvl>
    <w:lvl w:ilvl="8" w:tplc="3409001B" w:tentative="1">
      <w:start w:val="1"/>
      <w:numFmt w:val="lowerRoman"/>
      <w:lvlText w:val="%9."/>
      <w:lvlJc w:val="right"/>
      <w:pPr>
        <w:ind w:left="12150" w:hanging="180"/>
      </w:pPr>
    </w:lvl>
  </w:abstractNum>
  <w:abstractNum w:abstractNumId="37" w15:restartNumberingAfterBreak="0">
    <w:nsid w:val="6B974EE0"/>
    <w:multiLevelType w:val="hybridMultilevel"/>
    <w:tmpl w:val="3B68872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FD63C78"/>
    <w:multiLevelType w:val="hybridMultilevel"/>
    <w:tmpl w:val="30AA37D4"/>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39" w15:restartNumberingAfterBreak="0">
    <w:nsid w:val="716D2607"/>
    <w:multiLevelType w:val="hybridMultilevel"/>
    <w:tmpl w:val="32A8E4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3500BAE"/>
    <w:multiLevelType w:val="hybridMultilevel"/>
    <w:tmpl w:val="1C2898F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7CB7A72"/>
    <w:multiLevelType w:val="hybridMultilevel"/>
    <w:tmpl w:val="878A5244"/>
    <w:lvl w:ilvl="0" w:tplc="662C1174">
      <w:start w:val="1"/>
      <w:numFmt w:val="decimal"/>
      <w:lvlText w:val="%1."/>
      <w:lvlJc w:val="left"/>
      <w:pPr>
        <w:tabs>
          <w:tab w:val="num" w:pos="720"/>
        </w:tabs>
        <w:ind w:left="720" w:hanging="360"/>
      </w:pPr>
    </w:lvl>
    <w:lvl w:ilvl="1" w:tplc="FFCAA666" w:tentative="1">
      <w:start w:val="1"/>
      <w:numFmt w:val="decimal"/>
      <w:lvlText w:val="%2."/>
      <w:lvlJc w:val="left"/>
      <w:pPr>
        <w:tabs>
          <w:tab w:val="num" w:pos="1440"/>
        </w:tabs>
        <w:ind w:left="1440" w:hanging="360"/>
      </w:pPr>
    </w:lvl>
    <w:lvl w:ilvl="2" w:tplc="3288F698" w:tentative="1">
      <w:start w:val="1"/>
      <w:numFmt w:val="decimal"/>
      <w:lvlText w:val="%3."/>
      <w:lvlJc w:val="left"/>
      <w:pPr>
        <w:tabs>
          <w:tab w:val="num" w:pos="2160"/>
        </w:tabs>
        <w:ind w:left="2160" w:hanging="360"/>
      </w:pPr>
    </w:lvl>
    <w:lvl w:ilvl="3" w:tplc="ED5470DC" w:tentative="1">
      <w:start w:val="1"/>
      <w:numFmt w:val="decimal"/>
      <w:lvlText w:val="%4."/>
      <w:lvlJc w:val="left"/>
      <w:pPr>
        <w:tabs>
          <w:tab w:val="num" w:pos="2880"/>
        </w:tabs>
        <w:ind w:left="2880" w:hanging="360"/>
      </w:pPr>
    </w:lvl>
    <w:lvl w:ilvl="4" w:tplc="32BE02C4" w:tentative="1">
      <w:start w:val="1"/>
      <w:numFmt w:val="decimal"/>
      <w:lvlText w:val="%5."/>
      <w:lvlJc w:val="left"/>
      <w:pPr>
        <w:tabs>
          <w:tab w:val="num" w:pos="3600"/>
        </w:tabs>
        <w:ind w:left="3600" w:hanging="360"/>
      </w:pPr>
    </w:lvl>
    <w:lvl w:ilvl="5" w:tplc="8786AF64" w:tentative="1">
      <w:start w:val="1"/>
      <w:numFmt w:val="decimal"/>
      <w:lvlText w:val="%6."/>
      <w:lvlJc w:val="left"/>
      <w:pPr>
        <w:tabs>
          <w:tab w:val="num" w:pos="4320"/>
        </w:tabs>
        <w:ind w:left="4320" w:hanging="360"/>
      </w:pPr>
    </w:lvl>
    <w:lvl w:ilvl="6" w:tplc="0578102E" w:tentative="1">
      <w:start w:val="1"/>
      <w:numFmt w:val="decimal"/>
      <w:lvlText w:val="%7."/>
      <w:lvlJc w:val="left"/>
      <w:pPr>
        <w:tabs>
          <w:tab w:val="num" w:pos="5040"/>
        </w:tabs>
        <w:ind w:left="5040" w:hanging="360"/>
      </w:pPr>
    </w:lvl>
    <w:lvl w:ilvl="7" w:tplc="0D66862A" w:tentative="1">
      <w:start w:val="1"/>
      <w:numFmt w:val="decimal"/>
      <w:lvlText w:val="%8."/>
      <w:lvlJc w:val="left"/>
      <w:pPr>
        <w:tabs>
          <w:tab w:val="num" w:pos="5760"/>
        </w:tabs>
        <w:ind w:left="5760" w:hanging="360"/>
      </w:pPr>
    </w:lvl>
    <w:lvl w:ilvl="8" w:tplc="6FEA02AC" w:tentative="1">
      <w:start w:val="1"/>
      <w:numFmt w:val="decimal"/>
      <w:lvlText w:val="%9."/>
      <w:lvlJc w:val="left"/>
      <w:pPr>
        <w:tabs>
          <w:tab w:val="num" w:pos="6480"/>
        </w:tabs>
        <w:ind w:left="6480" w:hanging="360"/>
      </w:pPr>
    </w:lvl>
  </w:abstractNum>
  <w:abstractNum w:abstractNumId="42" w15:restartNumberingAfterBreak="0">
    <w:nsid w:val="7B135348"/>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43" w15:restartNumberingAfterBreak="0">
    <w:nsid w:val="7BE975E1"/>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num w:numId="1">
    <w:abstractNumId w:val="12"/>
  </w:num>
  <w:num w:numId="2">
    <w:abstractNumId w:val="26"/>
  </w:num>
  <w:num w:numId="3">
    <w:abstractNumId w:val="39"/>
  </w:num>
  <w:num w:numId="4">
    <w:abstractNumId w:val="32"/>
  </w:num>
  <w:num w:numId="5">
    <w:abstractNumId w:val="35"/>
  </w:num>
  <w:num w:numId="6">
    <w:abstractNumId w:val="11"/>
  </w:num>
  <w:num w:numId="7">
    <w:abstractNumId w:val="4"/>
  </w:num>
  <w:num w:numId="8">
    <w:abstractNumId w:val="43"/>
  </w:num>
  <w:num w:numId="9">
    <w:abstractNumId w:val="42"/>
  </w:num>
  <w:num w:numId="10">
    <w:abstractNumId w:val="34"/>
  </w:num>
  <w:num w:numId="11">
    <w:abstractNumId w:val="29"/>
  </w:num>
  <w:num w:numId="12">
    <w:abstractNumId w:val="9"/>
  </w:num>
  <w:num w:numId="13">
    <w:abstractNumId w:val="22"/>
  </w:num>
  <w:num w:numId="14">
    <w:abstractNumId w:val="16"/>
  </w:num>
  <w:num w:numId="15">
    <w:abstractNumId w:val="13"/>
  </w:num>
  <w:num w:numId="16">
    <w:abstractNumId w:val="18"/>
  </w:num>
  <w:num w:numId="17">
    <w:abstractNumId w:val="37"/>
  </w:num>
  <w:num w:numId="18">
    <w:abstractNumId w:val="38"/>
  </w:num>
  <w:num w:numId="19">
    <w:abstractNumId w:val="15"/>
  </w:num>
  <w:num w:numId="20">
    <w:abstractNumId w:val="25"/>
  </w:num>
  <w:num w:numId="21">
    <w:abstractNumId w:val="10"/>
  </w:num>
  <w:num w:numId="22">
    <w:abstractNumId w:val="20"/>
  </w:num>
  <w:num w:numId="23">
    <w:abstractNumId w:val="23"/>
  </w:num>
  <w:num w:numId="24">
    <w:abstractNumId w:val="28"/>
  </w:num>
  <w:num w:numId="25">
    <w:abstractNumId w:val="36"/>
  </w:num>
  <w:num w:numId="26">
    <w:abstractNumId w:val="27"/>
  </w:num>
  <w:num w:numId="27">
    <w:abstractNumId w:val="21"/>
  </w:num>
  <w:num w:numId="28">
    <w:abstractNumId w:val="17"/>
  </w:num>
  <w:num w:numId="29">
    <w:abstractNumId w:val="31"/>
  </w:num>
  <w:num w:numId="30">
    <w:abstractNumId w:val="41"/>
  </w:num>
  <w:num w:numId="31">
    <w:abstractNumId w:val="7"/>
  </w:num>
  <w:num w:numId="32">
    <w:abstractNumId w:val="30"/>
  </w:num>
  <w:num w:numId="33">
    <w:abstractNumId w:val="2"/>
  </w:num>
  <w:num w:numId="34">
    <w:abstractNumId w:val="14"/>
  </w:num>
  <w:num w:numId="35">
    <w:abstractNumId w:val="5"/>
  </w:num>
  <w:num w:numId="36">
    <w:abstractNumId w:val="40"/>
  </w:num>
  <w:num w:numId="37">
    <w:abstractNumId w:val="6"/>
  </w:num>
  <w:num w:numId="38">
    <w:abstractNumId w:val="3"/>
  </w:num>
  <w:num w:numId="39">
    <w:abstractNumId w:val="1"/>
  </w:num>
  <w:num w:numId="40">
    <w:abstractNumId w:val="8"/>
  </w:num>
  <w:num w:numId="41">
    <w:abstractNumId w:val="0"/>
  </w:num>
  <w:num w:numId="42">
    <w:abstractNumId w:val="33"/>
  </w:num>
  <w:num w:numId="43">
    <w:abstractNumId w:val="24"/>
  </w:num>
  <w:num w:numId="4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D"/>
    <w:rsid w:val="000021B3"/>
    <w:rsid w:val="000026E2"/>
    <w:rsid w:val="00006A45"/>
    <w:rsid w:val="00010072"/>
    <w:rsid w:val="0001369B"/>
    <w:rsid w:val="00015029"/>
    <w:rsid w:val="00025FA0"/>
    <w:rsid w:val="00030970"/>
    <w:rsid w:val="00031B57"/>
    <w:rsid w:val="000339F4"/>
    <w:rsid w:val="0003491F"/>
    <w:rsid w:val="000506EB"/>
    <w:rsid w:val="00055CA3"/>
    <w:rsid w:val="000614B0"/>
    <w:rsid w:val="0007187C"/>
    <w:rsid w:val="00073895"/>
    <w:rsid w:val="0007540C"/>
    <w:rsid w:val="000808AF"/>
    <w:rsid w:val="00084F50"/>
    <w:rsid w:val="0008701A"/>
    <w:rsid w:val="00090F03"/>
    <w:rsid w:val="00092981"/>
    <w:rsid w:val="00096045"/>
    <w:rsid w:val="0009732C"/>
    <w:rsid w:val="000A055D"/>
    <w:rsid w:val="000A0CF7"/>
    <w:rsid w:val="000B7EA1"/>
    <w:rsid w:val="000C1278"/>
    <w:rsid w:val="000C580B"/>
    <w:rsid w:val="000C74ED"/>
    <w:rsid w:val="000D53AC"/>
    <w:rsid w:val="000D7D49"/>
    <w:rsid w:val="000E0F6E"/>
    <w:rsid w:val="000E3C39"/>
    <w:rsid w:val="000E5E94"/>
    <w:rsid w:val="000F2837"/>
    <w:rsid w:val="000F28DB"/>
    <w:rsid w:val="00100FE7"/>
    <w:rsid w:val="0011104F"/>
    <w:rsid w:val="0011738C"/>
    <w:rsid w:val="00120DD5"/>
    <w:rsid w:val="001246DB"/>
    <w:rsid w:val="001279E6"/>
    <w:rsid w:val="00130036"/>
    <w:rsid w:val="0013016D"/>
    <w:rsid w:val="00135BDD"/>
    <w:rsid w:val="00135CD5"/>
    <w:rsid w:val="00145F98"/>
    <w:rsid w:val="00146A0C"/>
    <w:rsid w:val="0015101D"/>
    <w:rsid w:val="00151154"/>
    <w:rsid w:val="00152971"/>
    <w:rsid w:val="00170E74"/>
    <w:rsid w:val="0018066D"/>
    <w:rsid w:val="00185E9E"/>
    <w:rsid w:val="00186087"/>
    <w:rsid w:val="0018779A"/>
    <w:rsid w:val="00194782"/>
    <w:rsid w:val="00195C44"/>
    <w:rsid w:val="001A0F96"/>
    <w:rsid w:val="001A43F7"/>
    <w:rsid w:val="001A5B92"/>
    <w:rsid w:val="001A70A5"/>
    <w:rsid w:val="001B0826"/>
    <w:rsid w:val="001D45E6"/>
    <w:rsid w:val="001E35C3"/>
    <w:rsid w:val="001E4BA8"/>
    <w:rsid w:val="001E772E"/>
    <w:rsid w:val="001F318A"/>
    <w:rsid w:val="001F3ED5"/>
    <w:rsid w:val="001F41FA"/>
    <w:rsid w:val="001F4EE1"/>
    <w:rsid w:val="002019FD"/>
    <w:rsid w:val="00203986"/>
    <w:rsid w:val="00207A3D"/>
    <w:rsid w:val="002328CF"/>
    <w:rsid w:val="00233229"/>
    <w:rsid w:val="002438F6"/>
    <w:rsid w:val="00244B0C"/>
    <w:rsid w:val="002476A0"/>
    <w:rsid w:val="002736C2"/>
    <w:rsid w:val="00275B64"/>
    <w:rsid w:val="002818DC"/>
    <w:rsid w:val="00286F0D"/>
    <w:rsid w:val="00297BFB"/>
    <w:rsid w:val="002A2AA4"/>
    <w:rsid w:val="002A3B9C"/>
    <w:rsid w:val="002A4F51"/>
    <w:rsid w:val="002A621D"/>
    <w:rsid w:val="002A7A69"/>
    <w:rsid w:val="002B1B91"/>
    <w:rsid w:val="002C3693"/>
    <w:rsid w:val="002D2F91"/>
    <w:rsid w:val="002E22F9"/>
    <w:rsid w:val="002E2768"/>
    <w:rsid w:val="002F2276"/>
    <w:rsid w:val="002F78D4"/>
    <w:rsid w:val="0031093D"/>
    <w:rsid w:val="00324F71"/>
    <w:rsid w:val="00325048"/>
    <w:rsid w:val="00327E05"/>
    <w:rsid w:val="00342FD2"/>
    <w:rsid w:val="003445F8"/>
    <w:rsid w:val="00344C42"/>
    <w:rsid w:val="00354D00"/>
    <w:rsid w:val="0035790F"/>
    <w:rsid w:val="0039228D"/>
    <w:rsid w:val="00396FB5"/>
    <w:rsid w:val="003977C6"/>
    <w:rsid w:val="003A0928"/>
    <w:rsid w:val="003A146B"/>
    <w:rsid w:val="003A1998"/>
    <w:rsid w:val="003A55C8"/>
    <w:rsid w:val="003A6600"/>
    <w:rsid w:val="003B40F2"/>
    <w:rsid w:val="003C0ADB"/>
    <w:rsid w:val="003C36C0"/>
    <w:rsid w:val="003D0146"/>
    <w:rsid w:val="003D6FA1"/>
    <w:rsid w:val="003E2E08"/>
    <w:rsid w:val="003F1D52"/>
    <w:rsid w:val="003F1F75"/>
    <w:rsid w:val="003F2610"/>
    <w:rsid w:val="003F6B90"/>
    <w:rsid w:val="00400847"/>
    <w:rsid w:val="004031BB"/>
    <w:rsid w:val="00410EBC"/>
    <w:rsid w:val="00417BD9"/>
    <w:rsid w:val="004208AF"/>
    <w:rsid w:val="00427EBE"/>
    <w:rsid w:val="004362FD"/>
    <w:rsid w:val="00437483"/>
    <w:rsid w:val="00437AA8"/>
    <w:rsid w:val="00444D74"/>
    <w:rsid w:val="00445198"/>
    <w:rsid w:val="00450604"/>
    <w:rsid w:val="00450B7A"/>
    <w:rsid w:val="00460159"/>
    <w:rsid w:val="004609E4"/>
    <w:rsid w:val="0046610B"/>
    <w:rsid w:val="00470D1A"/>
    <w:rsid w:val="00487774"/>
    <w:rsid w:val="004B67E0"/>
    <w:rsid w:val="004C0402"/>
    <w:rsid w:val="004C1AD5"/>
    <w:rsid w:val="004D0C9F"/>
    <w:rsid w:val="004D3521"/>
    <w:rsid w:val="004D4F14"/>
    <w:rsid w:val="004F162D"/>
    <w:rsid w:val="004F1707"/>
    <w:rsid w:val="004F3993"/>
    <w:rsid w:val="005036D7"/>
    <w:rsid w:val="005062A7"/>
    <w:rsid w:val="00513119"/>
    <w:rsid w:val="00513933"/>
    <w:rsid w:val="0051694B"/>
    <w:rsid w:val="00521528"/>
    <w:rsid w:val="0053069F"/>
    <w:rsid w:val="00531C20"/>
    <w:rsid w:val="00531E3A"/>
    <w:rsid w:val="005369B5"/>
    <w:rsid w:val="00537C51"/>
    <w:rsid w:val="00550565"/>
    <w:rsid w:val="005613FC"/>
    <w:rsid w:val="00570B9D"/>
    <w:rsid w:val="00574E80"/>
    <w:rsid w:val="005A75CA"/>
    <w:rsid w:val="005B518D"/>
    <w:rsid w:val="005C33D9"/>
    <w:rsid w:val="005C692F"/>
    <w:rsid w:val="005D18E1"/>
    <w:rsid w:val="005D31D2"/>
    <w:rsid w:val="005D3D0B"/>
    <w:rsid w:val="005D7193"/>
    <w:rsid w:val="005D766B"/>
    <w:rsid w:val="005F58B8"/>
    <w:rsid w:val="005F7975"/>
    <w:rsid w:val="00606D79"/>
    <w:rsid w:val="00614E84"/>
    <w:rsid w:val="0063027C"/>
    <w:rsid w:val="00630AC2"/>
    <w:rsid w:val="006310B8"/>
    <w:rsid w:val="00632646"/>
    <w:rsid w:val="00632FF5"/>
    <w:rsid w:val="00633A52"/>
    <w:rsid w:val="006343ED"/>
    <w:rsid w:val="0064057E"/>
    <w:rsid w:val="00641DD0"/>
    <w:rsid w:val="00650F51"/>
    <w:rsid w:val="00653E91"/>
    <w:rsid w:val="0065500A"/>
    <w:rsid w:val="0065610C"/>
    <w:rsid w:val="00661595"/>
    <w:rsid w:val="0066664A"/>
    <w:rsid w:val="006710FD"/>
    <w:rsid w:val="00673467"/>
    <w:rsid w:val="006749E1"/>
    <w:rsid w:val="00680BB7"/>
    <w:rsid w:val="006836E1"/>
    <w:rsid w:val="006932F4"/>
    <w:rsid w:val="00697EA4"/>
    <w:rsid w:val="006A31FF"/>
    <w:rsid w:val="006A5DA2"/>
    <w:rsid w:val="006B2165"/>
    <w:rsid w:val="006B2AE0"/>
    <w:rsid w:val="006B2BBB"/>
    <w:rsid w:val="006C5E94"/>
    <w:rsid w:val="006C6864"/>
    <w:rsid w:val="006C702D"/>
    <w:rsid w:val="006D331D"/>
    <w:rsid w:val="006D339F"/>
    <w:rsid w:val="006D3BDB"/>
    <w:rsid w:val="006D70F9"/>
    <w:rsid w:val="006E0FD1"/>
    <w:rsid w:val="006E2BB6"/>
    <w:rsid w:val="006E4AD9"/>
    <w:rsid w:val="006E7AB5"/>
    <w:rsid w:val="006F5983"/>
    <w:rsid w:val="00701538"/>
    <w:rsid w:val="007041DB"/>
    <w:rsid w:val="0070462C"/>
    <w:rsid w:val="00706CF3"/>
    <w:rsid w:val="007105C0"/>
    <w:rsid w:val="00711677"/>
    <w:rsid w:val="007257D0"/>
    <w:rsid w:val="007326AB"/>
    <w:rsid w:val="00734527"/>
    <w:rsid w:val="00740CD8"/>
    <w:rsid w:val="00744B8F"/>
    <w:rsid w:val="00744E7F"/>
    <w:rsid w:val="00745BEC"/>
    <w:rsid w:val="00771527"/>
    <w:rsid w:val="007774E4"/>
    <w:rsid w:val="00790117"/>
    <w:rsid w:val="00793D67"/>
    <w:rsid w:val="007957F4"/>
    <w:rsid w:val="00795BD2"/>
    <w:rsid w:val="007B301D"/>
    <w:rsid w:val="007B5200"/>
    <w:rsid w:val="007C3352"/>
    <w:rsid w:val="007C67E1"/>
    <w:rsid w:val="007D6B63"/>
    <w:rsid w:val="007E59E0"/>
    <w:rsid w:val="007F0497"/>
    <w:rsid w:val="007F10F4"/>
    <w:rsid w:val="007F1C0A"/>
    <w:rsid w:val="00802F6B"/>
    <w:rsid w:val="00806E24"/>
    <w:rsid w:val="0080772E"/>
    <w:rsid w:val="0081153C"/>
    <w:rsid w:val="00831F54"/>
    <w:rsid w:val="00846762"/>
    <w:rsid w:val="00850A3D"/>
    <w:rsid w:val="00852DF7"/>
    <w:rsid w:val="008551B1"/>
    <w:rsid w:val="00855B62"/>
    <w:rsid w:val="0086304F"/>
    <w:rsid w:val="00865C8B"/>
    <w:rsid w:val="00874607"/>
    <w:rsid w:val="008825DD"/>
    <w:rsid w:val="008831D5"/>
    <w:rsid w:val="00886814"/>
    <w:rsid w:val="008A6A55"/>
    <w:rsid w:val="008A72E8"/>
    <w:rsid w:val="008B43B0"/>
    <w:rsid w:val="008C1BFB"/>
    <w:rsid w:val="008C5B82"/>
    <w:rsid w:val="008C77CB"/>
    <w:rsid w:val="008D4C28"/>
    <w:rsid w:val="008E4870"/>
    <w:rsid w:val="008E7419"/>
    <w:rsid w:val="008E7ADE"/>
    <w:rsid w:val="008F55B7"/>
    <w:rsid w:val="008F5ED9"/>
    <w:rsid w:val="009152AF"/>
    <w:rsid w:val="009155E2"/>
    <w:rsid w:val="00915631"/>
    <w:rsid w:val="00916AA8"/>
    <w:rsid w:val="00920693"/>
    <w:rsid w:val="00922659"/>
    <w:rsid w:val="009231B4"/>
    <w:rsid w:val="00923CBB"/>
    <w:rsid w:val="009439AF"/>
    <w:rsid w:val="0094613A"/>
    <w:rsid w:val="00956172"/>
    <w:rsid w:val="009600C4"/>
    <w:rsid w:val="00977C62"/>
    <w:rsid w:val="0098189C"/>
    <w:rsid w:val="00983C1C"/>
    <w:rsid w:val="00984643"/>
    <w:rsid w:val="00993CEF"/>
    <w:rsid w:val="00994939"/>
    <w:rsid w:val="009950BF"/>
    <w:rsid w:val="00995BB6"/>
    <w:rsid w:val="009B276D"/>
    <w:rsid w:val="009B2F8C"/>
    <w:rsid w:val="009C323F"/>
    <w:rsid w:val="009D0C31"/>
    <w:rsid w:val="009D31A9"/>
    <w:rsid w:val="009D3B1B"/>
    <w:rsid w:val="009D4170"/>
    <w:rsid w:val="009D454F"/>
    <w:rsid w:val="009D4E90"/>
    <w:rsid w:val="009E14B0"/>
    <w:rsid w:val="009E4F0E"/>
    <w:rsid w:val="009E4FE5"/>
    <w:rsid w:val="009E5DF2"/>
    <w:rsid w:val="009F0EB8"/>
    <w:rsid w:val="009F715C"/>
    <w:rsid w:val="00A00F53"/>
    <w:rsid w:val="00A03262"/>
    <w:rsid w:val="00A03A83"/>
    <w:rsid w:val="00A07ABA"/>
    <w:rsid w:val="00A12B1E"/>
    <w:rsid w:val="00A13937"/>
    <w:rsid w:val="00A16D38"/>
    <w:rsid w:val="00A30A66"/>
    <w:rsid w:val="00A42943"/>
    <w:rsid w:val="00A42CF8"/>
    <w:rsid w:val="00A434F3"/>
    <w:rsid w:val="00A44238"/>
    <w:rsid w:val="00A44931"/>
    <w:rsid w:val="00A5408A"/>
    <w:rsid w:val="00A54131"/>
    <w:rsid w:val="00A65233"/>
    <w:rsid w:val="00A75398"/>
    <w:rsid w:val="00A776F2"/>
    <w:rsid w:val="00A80BA7"/>
    <w:rsid w:val="00A963C0"/>
    <w:rsid w:val="00AB0EE1"/>
    <w:rsid w:val="00AB26CD"/>
    <w:rsid w:val="00AC2C18"/>
    <w:rsid w:val="00AC2DEE"/>
    <w:rsid w:val="00AC3C95"/>
    <w:rsid w:val="00AC6896"/>
    <w:rsid w:val="00AD49AB"/>
    <w:rsid w:val="00AE0548"/>
    <w:rsid w:val="00AE6B8C"/>
    <w:rsid w:val="00AF03FD"/>
    <w:rsid w:val="00AF0415"/>
    <w:rsid w:val="00AF3360"/>
    <w:rsid w:val="00AF3822"/>
    <w:rsid w:val="00AF42A4"/>
    <w:rsid w:val="00B15021"/>
    <w:rsid w:val="00B163B9"/>
    <w:rsid w:val="00B221EE"/>
    <w:rsid w:val="00B32AB1"/>
    <w:rsid w:val="00B341E9"/>
    <w:rsid w:val="00B36A79"/>
    <w:rsid w:val="00B36BE4"/>
    <w:rsid w:val="00B452D5"/>
    <w:rsid w:val="00B5787E"/>
    <w:rsid w:val="00B617AD"/>
    <w:rsid w:val="00B64554"/>
    <w:rsid w:val="00B64703"/>
    <w:rsid w:val="00B71374"/>
    <w:rsid w:val="00B736AC"/>
    <w:rsid w:val="00B90145"/>
    <w:rsid w:val="00B91563"/>
    <w:rsid w:val="00B91EE3"/>
    <w:rsid w:val="00BA5BFA"/>
    <w:rsid w:val="00BB6193"/>
    <w:rsid w:val="00BC043B"/>
    <w:rsid w:val="00BC1BB4"/>
    <w:rsid w:val="00BD6278"/>
    <w:rsid w:val="00BE6DD4"/>
    <w:rsid w:val="00BF4CEE"/>
    <w:rsid w:val="00BF5F8F"/>
    <w:rsid w:val="00BF608A"/>
    <w:rsid w:val="00BF6E7D"/>
    <w:rsid w:val="00C01AF3"/>
    <w:rsid w:val="00C04895"/>
    <w:rsid w:val="00C103D9"/>
    <w:rsid w:val="00C11AD3"/>
    <w:rsid w:val="00C145D7"/>
    <w:rsid w:val="00C17D02"/>
    <w:rsid w:val="00C2129B"/>
    <w:rsid w:val="00C21B21"/>
    <w:rsid w:val="00C2454A"/>
    <w:rsid w:val="00C2506C"/>
    <w:rsid w:val="00C276EC"/>
    <w:rsid w:val="00C417CB"/>
    <w:rsid w:val="00C51EFB"/>
    <w:rsid w:val="00C61778"/>
    <w:rsid w:val="00C71BFD"/>
    <w:rsid w:val="00C77D76"/>
    <w:rsid w:val="00C77E7C"/>
    <w:rsid w:val="00C93233"/>
    <w:rsid w:val="00C94B5B"/>
    <w:rsid w:val="00C9654F"/>
    <w:rsid w:val="00C96CD0"/>
    <w:rsid w:val="00CA5539"/>
    <w:rsid w:val="00CA56F3"/>
    <w:rsid w:val="00CA5DBB"/>
    <w:rsid w:val="00CC50CD"/>
    <w:rsid w:val="00CD321C"/>
    <w:rsid w:val="00CD5C1B"/>
    <w:rsid w:val="00CE3F0C"/>
    <w:rsid w:val="00CF1DF2"/>
    <w:rsid w:val="00CF3EC5"/>
    <w:rsid w:val="00CF6282"/>
    <w:rsid w:val="00CF6326"/>
    <w:rsid w:val="00D0407B"/>
    <w:rsid w:val="00D04CC5"/>
    <w:rsid w:val="00D11F67"/>
    <w:rsid w:val="00D2021B"/>
    <w:rsid w:val="00D20C3C"/>
    <w:rsid w:val="00D26D11"/>
    <w:rsid w:val="00D36619"/>
    <w:rsid w:val="00D3784E"/>
    <w:rsid w:val="00D44D5B"/>
    <w:rsid w:val="00D47E02"/>
    <w:rsid w:val="00D5164A"/>
    <w:rsid w:val="00D618F3"/>
    <w:rsid w:val="00D725C2"/>
    <w:rsid w:val="00D73141"/>
    <w:rsid w:val="00D8220E"/>
    <w:rsid w:val="00D91573"/>
    <w:rsid w:val="00D91B26"/>
    <w:rsid w:val="00D94D52"/>
    <w:rsid w:val="00D9517F"/>
    <w:rsid w:val="00DC72D5"/>
    <w:rsid w:val="00DC7843"/>
    <w:rsid w:val="00DE34CB"/>
    <w:rsid w:val="00DF075B"/>
    <w:rsid w:val="00DF238B"/>
    <w:rsid w:val="00DF558E"/>
    <w:rsid w:val="00DF55E8"/>
    <w:rsid w:val="00DF60D3"/>
    <w:rsid w:val="00E0200F"/>
    <w:rsid w:val="00E03AAA"/>
    <w:rsid w:val="00E078E7"/>
    <w:rsid w:val="00E12FDA"/>
    <w:rsid w:val="00E14C82"/>
    <w:rsid w:val="00E3156D"/>
    <w:rsid w:val="00E339DC"/>
    <w:rsid w:val="00E5134E"/>
    <w:rsid w:val="00E52B2F"/>
    <w:rsid w:val="00E52E9B"/>
    <w:rsid w:val="00E62414"/>
    <w:rsid w:val="00E645EB"/>
    <w:rsid w:val="00E736D7"/>
    <w:rsid w:val="00E74CEF"/>
    <w:rsid w:val="00E75D87"/>
    <w:rsid w:val="00E75EA0"/>
    <w:rsid w:val="00E767E6"/>
    <w:rsid w:val="00E8317B"/>
    <w:rsid w:val="00E85D7D"/>
    <w:rsid w:val="00E9180C"/>
    <w:rsid w:val="00EA15BB"/>
    <w:rsid w:val="00EA34FB"/>
    <w:rsid w:val="00EA37AA"/>
    <w:rsid w:val="00EB5730"/>
    <w:rsid w:val="00EB6196"/>
    <w:rsid w:val="00EB6518"/>
    <w:rsid w:val="00EC3119"/>
    <w:rsid w:val="00EC6DCA"/>
    <w:rsid w:val="00ED2F6A"/>
    <w:rsid w:val="00EE412D"/>
    <w:rsid w:val="00EF67BD"/>
    <w:rsid w:val="00F07E37"/>
    <w:rsid w:val="00F10D03"/>
    <w:rsid w:val="00F11009"/>
    <w:rsid w:val="00F14BBD"/>
    <w:rsid w:val="00F277D5"/>
    <w:rsid w:val="00F27931"/>
    <w:rsid w:val="00F32FF1"/>
    <w:rsid w:val="00F3311B"/>
    <w:rsid w:val="00F35C8D"/>
    <w:rsid w:val="00F562B4"/>
    <w:rsid w:val="00F56623"/>
    <w:rsid w:val="00F57C27"/>
    <w:rsid w:val="00F67A14"/>
    <w:rsid w:val="00F868ED"/>
    <w:rsid w:val="00F9000F"/>
    <w:rsid w:val="00F908A3"/>
    <w:rsid w:val="00F92016"/>
    <w:rsid w:val="00F973DD"/>
    <w:rsid w:val="00F973EF"/>
    <w:rsid w:val="00FA1C30"/>
    <w:rsid w:val="00FB1983"/>
    <w:rsid w:val="00FC701B"/>
    <w:rsid w:val="00FD0F18"/>
    <w:rsid w:val="00FD12ED"/>
    <w:rsid w:val="00FD5B72"/>
    <w:rsid w:val="00FE02A8"/>
    <w:rsid w:val="00FE5584"/>
    <w:rsid w:val="00FE5EDE"/>
    <w:rsid w:val="00FE6779"/>
    <w:rsid w:val="00FE6D14"/>
    <w:rsid w:val="00FF5E3A"/>
    <w:rsid w:val="00FF68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84FF"/>
  <w15:docId w15:val="{6449F155-D451-4A4F-8F9F-84F43F32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paragraph" w:customStyle="1" w:styleId="yiv6326553480m4434184440366046050gmail-msolistparagraph">
    <w:name w:val="yiv6326553480m_4434184440366046050gmail-msolistparagraph"/>
    <w:basedOn w:val="Normal"/>
    <w:rsid w:val="00995BB6"/>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CommentReference">
    <w:name w:val="annotation reference"/>
    <w:basedOn w:val="DefaultParagraphFont"/>
    <w:uiPriority w:val="99"/>
    <w:semiHidden/>
    <w:unhideWhenUsed/>
    <w:rsid w:val="002A2AA4"/>
    <w:rPr>
      <w:sz w:val="16"/>
      <w:szCs w:val="16"/>
    </w:rPr>
  </w:style>
  <w:style w:type="paragraph" w:styleId="CommentText">
    <w:name w:val="annotation text"/>
    <w:basedOn w:val="Normal"/>
    <w:link w:val="CommentTextChar"/>
    <w:uiPriority w:val="99"/>
    <w:semiHidden/>
    <w:unhideWhenUsed/>
    <w:rsid w:val="002A2AA4"/>
    <w:pPr>
      <w:spacing w:line="240" w:lineRule="auto"/>
    </w:pPr>
    <w:rPr>
      <w:sz w:val="20"/>
      <w:szCs w:val="20"/>
    </w:rPr>
  </w:style>
  <w:style w:type="character" w:customStyle="1" w:styleId="CommentTextChar">
    <w:name w:val="Comment Text Char"/>
    <w:basedOn w:val="DefaultParagraphFont"/>
    <w:link w:val="CommentText"/>
    <w:uiPriority w:val="99"/>
    <w:semiHidden/>
    <w:rsid w:val="002A2AA4"/>
    <w:rPr>
      <w:sz w:val="20"/>
      <w:szCs w:val="20"/>
    </w:rPr>
  </w:style>
  <w:style w:type="paragraph" w:styleId="CommentSubject">
    <w:name w:val="annotation subject"/>
    <w:basedOn w:val="CommentText"/>
    <w:next w:val="CommentText"/>
    <w:link w:val="CommentSubjectChar"/>
    <w:uiPriority w:val="99"/>
    <w:semiHidden/>
    <w:unhideWhenUsed/>
    <w:rsid w:val="00994939"/>
    <w:rPr>
      <w:b/>
      <w:bCs/>
    </w:rPr>
  </w:style>
  <w:style w:type="character" w:customStyle="1" w:styleId="CommentSubjectChar">
    <w:name w:val="Comment Subject Char"/>
    <w:basedOn w:val="CommentTextChar"/>
    <w:link w:val="CommentSubject"/>
    <w:uiPriority w:val="99"/>
    <w:semiHidden/>
    <w:rsid w:val="00994939"/>
    <w:rPr>
      <w:b/>
      <w:bCs/>
      <w:sz w:val="20"/>
      <w:szCs w:val="20"/>
    </w:rPr>
  </w:style>
  <w:style w:type="paragraph" w:styleId="Revision">
    <w:name w:val="Revision"/>
    <w:hidden/>
    <w:uiPriority w:val="99"/>
    <w:semiHidden/>
    <w:rsid w:val="00994939"/>
    <w:pPr>
      <w:spacing w:after="0" w:line="240" w:lineRule="auto"/>
    </w:pPr>
  </w:style>
  <w:style w:type="paragraph" w:styleId="NoSpacing">
    <w:name w:val="No Spacing"/>
    <w:uiPriority w:val="1"/>
    <w:qFormat/>
    <w:rsid w:val="00AB0EE1"/>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5993">
      <w:bodyDiv w:val="1"/>
      <w:marLeft w:val="0"/>
      <w:marRight w:val="0"/>
      <w:marTop w:val="0"/>
      <w:marBottom w:val="0"/>
      <w:divBdr>
        <w:top w:val="none" w:sz="0" w:space="0" w:color="auto"/>
        <w:left w:val="none" w:sz="0" w:space="0" w:color="auto"/>
        <w:bottom w:val="none" w:sz="0" w:space="0" w:color="auto"/>
        <w:right w:val="none" w:sz="0" w:space="0" w:color="auto"/>
      </w:divBdr>
    </w:div>
    <w:div w:id="1423799926">
      <w:bodyDiv w:val="1"/>
      <w:marLeft w:val="0"/>
      <w:marRight w:val="0"/>
      <w:marTop w:val="0"/>
      <w:marBottom w:val="0"/>
      <w:divBdr>
        <w:top w:val="none" w:sz="0" w:space="0" w:color="auto"/>
        <w:left w:val="none" w:sz="0" w:space="0" w:color="auto"/>
        <w:bottom w:val="none" w:sz="0" w:space="0" w:color="auto"/>
        <w:right w:val="none" w:sz="0" w:space="0" w:color="auto"/>
      </w:divBdr>
      <w:divsChild>
        <w:div w:id="1226065904">
          <w:marLeft w:val="360"/>
          <w:marRight w:val="0"/>
          <w:marTop w:val="86"/>
          <w:marBottom w:val="0"/>
          <w:divBdr>
            <w:top w:val="none" w:sz="0" w:space="0" w:color="auto"/>
            <w:left w:val="none" w:sz="0" w:space="0" w:color="auto"/>
            <w:bottom w:val="none" w:sz="0" w:space="0" w:color="auto"/>
            <w:right w:val="none" w:sz="0" w:space="0" w:color="auto"/>
          </w:divBdr>
        </w:div>
      </w:divsChild>
    </w:div>
    <w:div w:id="1867522457">
      <w:bodyDiv w:val="1"/>
      <w:marLeft w:val="0"/>
      <w:marRight w:val="0"/>
      <w:marTop w:val="0"/>
      <w:marBottom w:val="0"/>
      <w:divBdr>
        <w:top w:val="none" w:sz="0" w:space="0" w:color="auto"/>
        <w:left w:val="none" w:sz="0" w:space="0" w:color="auto"/>
        <w:bottom w:val="none" w:sz="0" w:space="0" w:color="auto"/>
        <w:right w:val="none" w:sz="0" w:space="0" w:color="auto"/>
      </w:divBdr>
      <w:divsChild>
        <w:div w:id="52392133">
          <w:marLeft w:val="360"/>
          <w:marRight w:val="0"/>
          <w:marTop w:val="86"/>
          <w:marBottom w:val="0"/>
          <w:divBdr>
            <w:top w:val="none" w:sz="0" w:space="0" w:color="auto"/>
            <w:left w:val="none" w:sz="0" w:space="0" w:color="auto"/>
            <w:bottom w:val="none" w:sz="0" w:space="0" w:color="auto"/>
            <w:right w:val="none" w:sz="0" w:space="0" w:color="auto"/>
          </w:divBdr>
        </w:div>
      </w:divsChild>
    </w:div>
    <w:div w:id="2143224895">
      <w:bodyDiv w:val="1"/>
      <w:marLeft w:val="0"/>
      <w:marRight w:val="0"/>
      <w:marTop w:val="0"/>
      <w:marBottom w:val="0"/>
      <w:divBdr>
        <w:top w:val="none" w:sz="0" w:space="0" w:color="auto"/>
        <w:left w:val="none" w:sz="0" w:space="0" w:color="auto"/>
        <w:bottom w:val="none" w:sz="0" w:space="0" w:color="auto"/>
        <w:right w:val="none" w:sz="0" w:space="0" w:color="auto"/>
      </w:divBdr>
      <w:divsChild>
        <w:div w:id="1733387071">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a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4943-2F72-480E-BEF7-6E06EC8C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COA</cp:lastModifiedBy>
  <cp:revision>2</cp:revision>
  <cp:lastPrinted>2019-02-14T03:26:00Z</cp:lastPrinted>
  <dcterms:created xsi:type="dcterms:W3CDTF">2019-05-24T01:40:00Z</dcterms:created>
  <dcterms:modified xsi:type="dcterms:W3CDTF">2019-05-24T01:40:00Z</dcterms:modified>
</cp:coreProperties>
</file>