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119" w:rsidRPr="00711677" w:rsidRDefault="004D2A9C" w:rsidP="009F715C">
      <w:pPr>
        <w:spacing w:after="120" w:line="240" w:lineRule="auto"/>
        <w:ind w:left="1440" w:firstLine="720"/>
        <w:rPr>
          <w:rFonts w:asciiTheme="majorHAnsi" w:eastAsia="Times New Roman" w:hAnsiTheme="majorHAnsi" w:cs="Times New Roman"/>
          <w:color w:val="244061" w:themeColor="accent1" w:themeShade="80"/>
          <w:sz w:val="24"/>
          <w:szCs w:val="24"/>
          <w:lang w:val="en-US"/>
        </w:rPr>
      </w:pPr>
      <w:r w:rsidRPr="00711677">
        <w:rPr>
          <w:rFonts w:asciiTheme="majorHAnsi" w:eastAsia="Calibri" w:hAnsiTheme="majorHAnsi" w:cs="Times New Roman"/>
          <w:b/>
          <w:noProof/>
          <w:color w:val="244061" w:themeColor="accent1" w:themeShade="80"/>
          <w:spacing w:val="-2"/>
          <w:sz w:val="24"/>
          <w:szCs w:val="24"/>
          <w:lang w:val="en-US"/>
        </w:rPr>
        <mc:AlternateContent>
          <mc:Choice Requires="wps">
            <w:drawing>
              <wp:anchor distT="0" distB="0" distL="114300" distR="114300" simplePos="0" relativeHeight="251656192" behindDoc="0" locked="0" layoutInCell="1" allowOverlap="1" wp14:anchorId="66DE9A59" wp14:editId="04D42B04">
                <wp:simplePos x="0" y="0"/>
                <wp:positionH relativeFrom="column">
                  <wp:posOffset>-172720</wp:posOffset>
                </wp:positionH>
                <wp:positionV relativeFrom="paragraph">
                  <wp:posOffset>-36195</wp:posOffset>
                </wp:positionV>
                <wp:extent cx="3625850" cy="525780"/>
                <wp:effectExtent l="0" t="0" r="1270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525780"/>
                        </a:xfrm>
                        <a:prstGeom prst="rect">
                          <a:avLst/>
                        </a:prstGeom>
                        <a:solidFill>
                          <a:srgbClr val="FFFFFF"/>
                        </a:solidFill>
                        <a:ln w="9525">
                          <a:solidFill>
                            <a:schemeClr val="tx1">
                              <a:lumMod val="50000"/>
                              <a:lumOff val="50000"/>
                            </a:schemeClr>
                          </a:solidFill>
                          <a:miter lim="800000"/>
                          <a:headEnd/>
                          <a:tailEnd/>
                        </a:ln>
                      </wps:spPr>
                      <wps:txbx>
                        <w:txbxContent>
                          <w:p w:rsidR="003F1F75" w:rsidRPr="003F1F75" w:rsidRDefault="00711677" w:rsidP="003F1F75">
                            <w:pPr>
                              <w:jc w:val="center"/>
                              <w:rPr>
                                <w:b/>
                                <w:color w:val="7F7F7F" w:themeColor="text1" w:themeTint="80"/>
                                <w:sz w:val="24"/>
                              </w:rPr>
                            </w:pPr>
                            <w:r>
                              <w:rPr>
                                <w:b/>
                                <w:color w:val="595959" w:themeColor="text1" w:themeTint="A6"/>
                                <w:sz w:val="24"/>
                              </w:rPr>
                              <w:t>R</w:t>
                            </w:r>
                            <w:r w:rsidR="003F1F75" w:rsidRPr="00E0200F">
                              <w:rPr>
                                <w:b/>
                                <w:color w:val="595959" w:themeColor="text1" w:themeTint="A6"/>
                                <w:sz w:val="24"/>
                              </w:rPr>
                              <w:t>eporting dashboard</w:t>
                            </w:r>
                            <w:r w:rsidR="004D2A9C">
                              <w:rPr>
                                <w:b/>
                                <w:color w:val="595959" w:themeColor="text1" w:themeTint="A6"/>
                                <w:sz w:val="24"/>
                              </w:rPr>
                              <w:t xml:space="preserve"> - </w:t>
                            </w:r>
                            <w:r w:rsidRPr="00711677">
                              <w:rPr>
                                <w:b/>
                                <w:i/>
                                <w:color w:val="595959" w:themeColor="text1" w:themeTint="A6"/>
                                <w:sz w:val="24"/>
                              </w:rPr>
                              <w:t>Working Group</w:t>
                            </w:r>
                            <w:r w:rsidR="004D2A9C">
                              <w:rPr>
                                <w:b/>
                                <w:i/>
                                <w:color w:val="595959" w:themeColor="text1" w:themeTint="A6"/>
                                <w:sz w:val="24"/>
                              </w:rPr>
                              <w:t xml:space="preserve"> on Financial Modernization and Regulatory Reform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6pt;margin-top:-2.85pt;width:285.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" strokecolor="gray [1629]">
                <v:textbox>
                  <w:txbxContent>
                    <w:p w:rsidR="003F1F75" w:rsidRPr="003F1F75" w:rsidRDefault="00711677" w:rsidP="003F1F75">
                      <w:pPr>
                        <w:jc w:val="center"/>
                        <w:rPr>
                          <w:b/>
                          <w:color w:val="7F7F7F" w:themeColor="text1" w:themeTint="80"/>
                          <w:sz w:val="24"/>
                        </w:rPr>
                      </w:pPr>
                      <w:r>
                        <w:rPr>
                          <w:b/>
                          <w:color w:val="595959" w:themeColor="text1" w:themeTint="A6"/>
                          <w:sz w:val="24"/>
                        </w:rPr>
                        <w:t>R</w:t>
                      </w:r>
                      <w:r w:rsidR="003F1F75" w:rsidRPr="00E0200F">
                        <w:rPr>
                          <w:b/>
                          <w:color w:val="595959" w:themeColor="text1" w:themeTint="A6"/>
                          <w:sz w:val="24"/>
                        </w:rPr>
                        <w:t>eporting dashboard</w:t>
                      </w:r>
                      <w:r w:rsidR="004D2A9C">
                        <w:rPr>
                          <w:b/>
                          <w:color w:val="595959" w:themeColor="text1" w:themeTint="A6"/>
                          <w:sz w:val="24"/>
                        </w:rPr>
                        <w:t xml:space="preserve"> - </w:t>
                      </w:r>
                      <w:r w:rsidRPr="00711677">
                        <w:rPr>
                          <w:b/>
                          <w:i/>
                          <w:color w:val="595959" w:themeColor="text1" w:themeTint="A6"/>
                          <w:sz w:val="24"/>
                        </w:rPr>
                        <w:t>Working Group</w:t>
                      </w:r>
                      <w:r w:rsidR="004D2A9C">
                        <w:rPr>
                          <w:b/>
                          <w:i/>
                          <w:color w:val="595959" w:themeColor="text1" w:themeTint="A6"/>
                          <w:sz w:val="24"/>
                        </w:rPr>
                        <w:t xml:space="preserve"> on Financial Modernization and Regulatory Reform</w:t>
                      </w:r>
                    </w:p>
                  </w:txbxContent>
                </v:textbox>
              </v:shape>
            </w:pict>
          </mc:Fallback>
        </mc:AlternateContent>
      </w:r>
      <w:r w:rsidR="00711677" w:rsidRPr="00711677">
        <w:rPr>
          <w:rFonts w:asciiTheme="majorHAnsi" w:eastAsia="Times New Roman" w:hAnsiTheme="majorHAnsi" w:cs="Times New Roman"/>
          <w:noProof/>
          <w:color w:val="244061" w:themeColor="accent1" w:themeShade="80"/>
          <w:sz w:val="24"/>
          <w:szCs w:val="24"/>
          <w:lang w:val="en-US"/>
        </w:rPr>
        <mc:AlternateContent>
          <mc:Choice Requires="wps">
            <w:drawing>
              <wp:anchor distT="0" distB="0" distL="114300" distR="114300" simplePos="0" relativeHeight="251652096" behindDoc="0" locked="0" layoutInCell="1" allowOverlap="1" wp14:anchorId="37737753" wp14:editId="63B56991">
                <wp:simplePos x="0" y="0"/>
                <wp:positionH relativeFrom="column">
                  <wp:posOffset>6271404</wp:posOffset>
                </wp:positionH>
                <wp:positionV relativeFrom="paragraph">
                  <wp:posOffset>-587950</wp:posOffset>
                </wp:positionV>
                <wp:extent cx="3053751" cy="1647645"/>
                <wp:effectExtent l="0" t="0" r="1333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51" cy="1647645"/>
                        </a:xfrm>
                        <a:prstGeom prst="rect">
                          <a:avLst/>
                        </a:prstGeom>
                        <a:solidFill>
                          <a:srgbClr val="FFFFFF"/>
                        </a:solidFill>
                        <a:ln w="9525">
                          <a:solidFill>
                            <a:schemeClr val="bg1">
                              <a:lumMod val="50000"/>
                            </a:schemeClr>
                          </a:solidFill>
                          <a:miter lim="800000"/>
                          <a:headEnd/>
                          <a:tailEnd/>
                        </a:ln>
                      </wps:spPr>
                      <wps:txbx>
                        <w:txbxContent>
                          <w:p w:rsidR="004B67E0" w:rsidRDefault="00EA37AA" w:rsidP="009F715C">
                            <w:pPr>
                              <w:spacing w:after="40"/>
                              <w:jc w:val="center"/>
                            </w:pPr>
                            <w:r>
                              <w:t xml:space="preserve">Key to progress indicator </w:t>
                            </w:r>
                            <w:r w:rsidR="007B5200">
                              <w:t>colours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17"/>
                              <w:gridCol w:w="3768"/>
                            </w:tblGrid>
                            <w:tr w:rsidR="00AC6896" w:rsidTr="00711677">
                              <w:tc>
                                <w:tcPr>
                                  <w:tcW w:w="817" w:type="dxa"/>
                                  <w:shd w:val="clear" w:color="auto" w:fill="92D050"/>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 project</w:t>
                                  </w:r>
                                  <w:r w:rsidR="00B91563" w:rsidRPr="00711677">
                                    <w:rPr>
                                      <w:sz w:val="18"/>
                                      <w:szCs w:val="18"/>
                                    </w:rPr>
                                    <w:t>s</w:t>
                                  </w:r>
                                  <w:r w:rsidRPr="00711677">
                                    <w:rPr>
                                      <w:sz w:val="18"/>
                                      <w:szCs w:val="18"/>
                                    </w:rPr>
                                    <w:t xml:space="preserve"> on schedule </w:t>
                                  </w:r>
                                </w:p>
                              </w:tc>
                            </w:tr>
                            <w:tr w:rsidR="00AC6896" w:rsidTr="00711677">
                              <w:tc>
                                <w:tcPr>
                                  <w:tcW w:w="817" w:type="dxa"/>
                                  <w:shd w:val="clear" w:color="auto" w:fill="FFC000"/>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w:t>
                                  </w:r>
                                  <w:r w:rsidR="0015101D" w:rsidRPr="00711677">
                                    <w:rPr>
                                      <w:sz w:val="18"/>
                                      <w:szCs w:val="18"/>
                                    </w:rPr>
                                    <w:t xml:space="preserve"> </w:t>
                                  </w:r>
                                  <w:r w:rsidR="007B5200" w:rsidRPr="00711677">
                                    <w:rPr>
                                      <w:sz w:val="18"/>
                                      <w:szCs w:val="18"/>
                                    </w:rPr>
                                    <w:t>project</w:t>
                                  </w:r>
                                  <w:r w:rsidR="00B91563" w:rsidRPr="00711677">
                                    <w:rPr>
                                      <w:sz w:val="18"/>
                                      <w:szCs w:val="18"/>
                                    </w:rPr>
                                    <w:t>s</w:t>
                                  </w:r>
                                  <w:r w:rsidRPr="00711677">
                                    <w:rPr>
                                      <w:sz w:val="18"/>
                                      <w:szCs w:val="18"/>
                                    </w:rPr>
                                    <w:t xml:space="preserve"> behind schedule</w:t>
                                  </w:r>
                                </w:p>
                              </w:tc>
                            </w:tr>
                            <w:tr w:rsidR="00AC6896" w:rsidTr="00711677">
                              <w:tc>
                                <w:tcPr>
                                  <w:tcW w:w="817" w:type="dxa"/>
                                  <w:shd w:val="clear" w:color="auto" w:fill="FF5757"/>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 xml:space="preserve">Serious difficulties being experienced </w:t>
                                  </w:r>
                                  <w:r w:rsidR="00711677" w:rsidRPr="00711677">
                                    <w:rPr>
                                      <w:sz w:val="18"/>
                                      <w:szCs w:val="18"/>
                                    </w:rPr>
                                    <w:t>– Internal factors</w:t>
                                  </w:r>
                                </w:p>
                              </w:tc>
                            </w:tr>
                            <w:tr w:rsidR="00711677" w:rsidTr="00A75398">
                              <w:tc>
                                <w:tcPr>
                                  <w:tcW w:w="817" w:type="dxa"/>
                                  <w:shd w:val="clear" w:color="auto" w:fill="5F497A" w:themeFill="accent4" w:themeFillShade="BF"/>
                                </w:tcPr>
                                <w:p w:rsidR="00711677" w:rsidRDefault="00711677"/>
                              </w:tc>
                              <w:tc>
                                <w:tcPr>
                                  <w:tcW w:w="3768" w:type="dxa"/>
                                </w:tcPr>
                                <w:p w:rsidR="00711677" w:rsidRPr="00711677" w:rsidRDefault="00711677" w:rsidP="00711677">
                                  <w:pPr>
                                    <w:spacing w:line="240" w:lineRule="auto"/>
                                    <w:rPr>
                                      <w:sz w:val="18"/>
                                      <w:szCs w:val="18"/>
                                    </w:rPr>
                                  </w:pPr>
                                  <w:r w:rsidRPr="00711677">
                                    <w:rPr>
                                      <w:sz w:val="18"/>
                                      <w:szCs w:val="18"/>
                                    </w:rPr>
                                    <w:t>Serious difficulties being experienced – External factors (beyond the control of the WG)</w:t>
                                  </w:r>
                                </w:p>
                              </w:tc>
                            </w:tr>
                            <w:tr w:rsidR="00AC6896" w:rsidTr="00711677">
                              <w:tc>
                                <w:tcPr>
                                  <w:tcW w:w="817" w:type="dxa"/>
                                  <w:shd w:val="clear" w:color="auto" w:fill="29D6FF"/>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Not yet scheduled to start</w:t>
                                  </w:r>
                                </w:p>
                              </w:tc>
                            </w:tr>
                            <w:tr w:rsidR="00AC6896" w:rsidTr="00711677">
                              <w:tc>
                                <w:tcPr>
                                  <w:tcW w:w="817" w:type="dxa"/>
                                  <w:shd w:val="clear" w:color="auto" w:fill="404040" w:themeFill="text1" w:themeFillTint="BF"/>
                                </w:tcPr>
                                <w:p w:rsidR="004B67E0" w:rsidRDefault="004B67E0"/>
                              </w:tc>
                              <w:tc>
                                <w:tcPr>
                                  <w:tcW w:w="3768" w:type="dxa"/>
                                </w:tcPr>
                                <w:p w:rsidR="004B67E0" w:rsidRDefault="004B67E0">
                                  <w:r>
                                    <w:t>Initiative</w:t>
                                  </w:r>
                                  <w:r w:rsidR="00B91563">
                                    <w:t xml:space="preserve">s </w:t>
                                  </w:r>
                                  <w:r>
                                    <w:t xml:space="preserve"> / project</w:t>
                                  </w:r>
                                  <w:r w:rsidR="00B91563">
                                    <w:t>s</w:t>
                                  </w:r>
                                  <w:r>
                                    <w:t xml:space="preserve"> completed </w:t>
                                  </w:r>
                                </w:p>
                              </w:tc>
                            </w:tr>
                          </w:tbl>
                          <w:p w:rsidR="004B67E0" w:rsidRDefault="004B67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93.8pt;margin-top:-46.3pt;width:240.45pt;height:12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" strokecolor="#7f7f7f [1612]">
                <v:textbox>
                  <w:txbxContent>
                    <w:p w:rsidR="004B67E0" w:rsidRDefault="00EA37AA" w:rsidP="009F715C">
                      <w:pPr>
                        <w:spacing w:after="40"/>
                        <w:jc w:val="center"/>
                      </w:pPr>
                      <w:r>
                        <w:t xml:space="preserve">Key to progress indicator </w:t>
                      </w:r>
                      <w:r w:rsidR="007B5200">
                        <w:t>colours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17"/>
                        <w:gridCol w:w="3768"/>
                      </w:tblGrid>
                      <w:tr w:rsidR="00AC6896" w:rsidTr="00711677">
                        <w:tc>
                          <w:tcPr>
                            <w:tcW w:w="817" w:type="dxa"/>
                            <w:shd w:val="clear" w:color="auto" w:fill="92D050"/>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 project</w:t>
                            </w:r>
                            <w:r w:rsidR="00B91563" w:rsidRPr="00711677">
                              <w:rPr>
                                <w:sz w:val="18"/>
                                <w:szCs w:val="18"/>
                              </w:rPr>
                              <w:t>s</w:t>
                            </w:r>
                            <w:r w:rsidRPr="00711677">
                              <w:rPr>
                                <w:sz w:val="18"/>
                                <w:szCs w:val="18"/>
                              </w:rPr>
                              <w:t xml:space="preserve"> on schedule </w:t>
                            </w:r>
                          </w:p>
                        </w:tc>
                      </w:tr>
                      <w:tr w:rsidR="00AC6896" w:rsidTr="00711677">
                        <w:tc>
                          <w:tcPr>
                            <w:tcW w:w="817" w:type="dxa"/>
                            <w:shd w:val="clear" w:color="auto" w:fill="FFC000"/>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w:t>
                            </w:r>
                            <w:r w:rsidR="0015101D" w:rsidRPr="00711677">
                              <w:rPr>
                                <w:sz w:val="18"/>
                                <w:szCs w:val="18"/>
                              </w:rPr>
                              <w:t xml:space="preserve"> </w:t>
                            </w:r>
                            <w:r w:rsidR="007B5200" w:rsidRPr="00711677">
                              <w:rPr>
                                <w:sz w:val="18"/>
                                <w:szCs w:val="18"/>
                              </w:rPr>
                              <w:t>project</w:t>
                            </w:r>
                            <w:r w:rsidR="00B91563" w:rsidRPr="00711677">
                              <w:rPr>
                                <w:sz w:val="18"/>
                                <w:szCs w:val="18"/>
                              </w:rPr>
                              <w:t>s</w:t>
                            </w:r>
                            <w:r w:rsidRPr="00711677">
                              <w:rPr>
                                <w:sz w:val="18"/>
                                <w:szCs w:val="18"/>
                              </w:rPr>
                              <w:t xml:space="preserve"> behind schedule</w:t>
                            </w:r>
                          </w:p>
                        </w:tc>
                      </w:tr>
                      <w:tr w:rsidR="00AC6896" w:rsidTr="00711677">
                        <w:tc>
                          <w:tcPr>
                            <w:tcW w:w="817" w:type="dxa"/>
                            <w:shd w:val="clear" w:color="auto" w:fill="FF5757"/>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 xml:space="preserve">Serious difficulties being experienced </w:t>
                            </w:r>
                            <w:r w:rsidR="00711677" w:rsidRPr="00711677">
                              <w:rPr>
                                <w:sz w:val="18"/>
                                <w:szCs w:val="18"/>
                              </w:rPr>
                              <w:t>– Internal factors</w:t>
                            </w:r>
                          </w:p>
                        </w:tc>
                      </w:tr>
                      <w:tr w:rsidR="00711677" w:rsidTr="00A75398">
                        <w:tc>
                          <w:tcPr>
                            <w:tcW w:w="817" w:type="dxa"/>
                            <w:shd w:val="clear" w:color="auto" w:fill="5F497A" w:themeFill="accent4" w:themeFillShade="BF"/>
                          </w:tcPr>
                          <w:p w:rsidR="00711677" w:rsidRDefault="00711677"/>
                        </w:tc>
                        <w:tc>
                          <w:tcPr>
                            <w:tcW w:w="3768" w:type="dxa"/>
                          </w:tcPr>
                          <w:p w:rsidR="00711677" w:rsidRPr="00711677" w:rsidRDefault="00711677" w:rsidP="00711677">
                            <w:pPr>
                              <w:spacing w:line="240" w:lineRule="auto"/>
                              <w:rPr>
                                <w:sz w:val="18"/>
                                <w:szCs w:val="18"/>
                              </w:rPr>
                            </w:pPr>
                            <w:r w:rsidRPr="00711677">
                              <w:rPr>
                                <w:sz w:val="18"/>
                                <w:szCs w:val="18"/>
                              </w:rPr>
                              <w:t>Serious difficulties being experienced – External factors (beyond the control of the WG)</w:t>
                            </w:r>
                          </w:p>
                        </w:tc>
                      </w:tr>
                      <w:tr w:rsidR="00AC6896" w:rsidTr="00711677">
                        <w:tc>
                          <w:tcPr>
                            <w:tcW w:w="817" w:type="dxa"/>
                            <w:shd w:val="clear" w:color="auto" w:fill="29D6FF"/>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Not yet scheduled to start</w:t>
                            </w:r>
                          </w:p>
                        </w:tc>
                      </w:tr>
                      <w:tr w:rsidR="00AC6896" w:rsidTr="00711677">
                        <w:tc>
                          <w:tcPr>
                            <w:tcW w:w="817" w:type="dxa"/>
                            <w:shd w:val="clear" w:color="auto" w:fill="404040" w:themeFill="text1" w:themeFillTint="BF"/>
                          </w:tcPr>
                          <w:p w:rsidR="004B67E0" w:rsidRDefault="004B67E0"/>
                        </w:tc>
                        <w:tc>
                          <w:tcPr>
                            <w:tcW w:w="3768" w:type="dxa"/>
                          </w:tcPr>
                          <w:p w:rsidR="004B67E0" w:rsidRDefault="004B67E0">
                            <w:r>
                              <w:t>Initiative</w:t>
                            </w:r>
                            <w:r w:rsidR="00B91563">
                              <w:t xml:space="preserve">s </w:t>
                            </w:r>
                            <w:r>
                              <w:t xml:space="preserve"> / project</w:t>
                            </w:r>
                            <w:r w:rsidR="00B91563">
                              <w:t>s</w:t>
                            </w:r>
                            <w:r>
                              <w:t xml:space="preserve"> completed </w:t>
                            </w:r>
                          </w:p>
                        </w:tc>
                      </w:tr>
                    </w:tbl>
                    <w:p w:rsidR="004B67E0" w:rsidRDefault="004B67E0"/>
                  </w:txbxContent>
                </v:textbox>
              </v:shape>
            </w:pict>
          </mc:Fallback>
        </mc:AlternateContent>
      </w:r>
      <w:r w:rsidR="00711677" w:rsidRPr="00711677">
        <w:rPr>
          <w:rFonts w:asciiTheme="majorHAnsi" w:eastAsia="Times New Roman" w:hAnsiTheme="majorHAnsi" w:cs="Times New Roman"/>
          <w:b/>
          <w:noProof/>
          <w:color w:val="008080"/>
          <w:sz w:val="24"/>
          <w:szCs w:val="24"/>
          <w:lang w:val="en-US"/>
        </w:rPr>
        <mc:AlternateContent>
          <mc:Choice Requires="wps">
            <w:drawing>
              <wp:anchor distT="0" distB="0" distL="114300" distR="114300" simplePos="0" relativeHeight="251660288" behindDoc="0" locked="0" layoutInCell="1" allowOverlap="1" wp14:anchorId="419FC547" wp14:editId="29601A53">
                <wp:simplePos x="0" y="0"/>
                <wp:positionH relativeFrom="column">
                  <wp:posOffset>3614468</wp:posOffset>
                </wp:positionH>
                <wp:positionV relativeFrom="paragraph">
                  <wp:posOffset>-449580</wp:posOffset>
                </wp:positionV>
                <wp:extent cx="1863306" cy="1403985"/>
                <wp:effectExtent l="0" t="0" r="381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306" cy="1403985"/>
                        </a:xfrm>
                        <a:prstGeom prst="rect">
                          <a:avLst/>
                        </a:prstGeom>
                        <a:solidFill>
                          <a:srgbClr val="FFFFFF"/>
                        </a:solidFill>
                        <a:ln w="9525">
                          <a:noFill/>
                          <a:miter lim="800000"/>
                          <a:headEnd/>
                          <a:tailEnd/>
                        </a:ln>
                      </wps:spPr>
                      <wps:txbx>
                        <w:txbxContent>
                          <w:p w:rsidR="000808AF" w:rsidRPr="000808AF" w:rsidRDefault="00711677">
                            <w:pPr>
                              <w:rPr>
                                <w:rFonts w:ascii="Arial Narrow" w:hAnsi="Arial Narrow"/>
                                <w:b/>
                                <w:color w:val="C00000"/>
                              </w:rPr>
                            </w:pPr>
                            <w:r w:rsidRPr="00711677">
                              <w:rPr>
                                <w:rFonts w:asciiTheme="majorHAnsi" w:eastAsia="Times New Roman" w:hAnsiTheme="majorHAnsi" w:cs="Times New Roman"/>
                                <w:color w:val="244061" w:themeColor="accent1" w:themeShade="80"/>
                                <w:sz w:val="24"/>
                                <w:szCs w:val="24"/>
                                <w:lang w:val="en-US"/>
                              </w:rPr>
                              <w:t>KSC work plan 2017</w:t>
                            </w:r>
                            <w:r>
                              <w:rPr>
                                <w:rFonts w:asciiTheme="majorHAnsi" w:eastAsia="Times New Roman" w:hAnsiTheme="majorHAnsi" w:cs="Times New Roman"/>
                                <w:color w:val="244061" w:themeColor="accent1" w:themeShade="80"/>
                                <w:sz w:val="24"/>
                                <w:szCs w:val="24"/>
                                <w:lang w:val="en-US"/>
                              </w:rP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84.6pt;margin-top:-35.4pt;width:146.7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" stroked="f">
                <v:textbox style="mso-fit-shape-to-text:t">
                  <w:txbxContent>
                    <w:p w:rsidR="000808AF" w:rsidRPr="000808AF" w:rsidRDefault="00711677">
                      <w:pPr>
                        <w:rPr>
                          <w:rFonts w:ascii="Arial Narrow" w:hAnsi="Arial Narrow"/>
                          <w:b/>
                          <w:color w:val="C00000"/>
                        </w:rPr>
                      </w:pPr>
                      <w:r w:rsidRPr="00711677">
                        <w:rPr>
                          <w:rFonts w:asciiTheme="majorHAnsi" w:eastAsia="Times New Roman" w:hAnsiTheme="majorHAnsi" w:cs="Times New Roman"/>
                          <w:color w:val="244061" w:themeColor="accent1" w:themeShade="80"/>
                          <w:sz w:val="24"/>
                          <w:szCs w:val="24"/>
                          <w:lang w:val="en-US"/>
                        </w:rPr>
                        <w:t>KSC work plan 2017</w:t>
                      </w:r>
                      <w:r>
                        <w:rPr>
                          <w:rFonts w:asciiTheme="majorHAnsi" w:eastAsia="Times New Roman" w:hAnsiTheme="majorHAnsi" w:cs="Times New Roman"/>
                          <w:color w:val="244061" w:themeColor="accent1" w:themeShade="80"/>
                          <w:sz w:val="24"/>
                          <w:szCs w:val="24"/>
                          <w:lang w:val="en-US"/>
                        </w:rPr>
                        <w:t>-19</w:t>
                      </w:r>
                    </w:p>
                  </w:txbxContent>
                </v:textbox>
              </v:shape>
            </w:pict>
          </mc:Fallback>
        </mc:AlternateContent>
      </w:r>
      <w:r>
        <w:rPr>
          <w:rFonts w:asciiTheme="majorHAnsi" w:eastAsia="Times New Roman" w:hAnsiTheme="majorHAnsi" w:cs="Times New Roman"/>
          <w:color w:val="244061" w:themeColor="accent1" w:themeShade="80"/>
          <w:sz w:val="24"/>
          <w:szCs w:val="24"/>
          <w:lang w:val="en-US"/>
        </w:rPr>
        <w:t xml:space="preserve"> W</w:t>
      </w:r>
    </w:p>
    <w:p w:rsidR="00711677" w:rsidRDefault="009F715C" w:rsidP="001F3ED5">
      <w:pPr>
        <w:spacing w:after="120" w:line="240" w:lineRule="auto"/>
        <w:ind w:left="720" w:hanging="862"/>
        <w:rPr>
          <w:rFonts w:asciiTheme="majorHAnsi" w:eastAsia="Times New Roman" w:hAnsiTheme="majorHAnsi" w:cs="Times New Roman"/>
          <w:b/>
          <w:color w:val="008080"/>
          <w:sz w:val="20"/>
          <w:szCs w:val="20"/>
          <w:lang w:val="en-US"/>
        </w:rPr>
      </w:pPr>
      <w:r w:rsidRPr="003A55C8">
        <w:rPr>
          <w:rFonts w:asciiTheme="majorHAnsi" w:eastAsia="Times New Roman" w:hAnsiTheme="majorHAnsi" w:cs="Times New Roman"/>
          <w:b/>
          <w:color w:val="008080"/>
          <w:sz w:val="20"/>
          <w:szCs w:val="20"/>
          <w:lang w:val="en-US"/>
        </w:rPr>
        <w:t xml:space="preserve">     </w:t>
      </w:r>
    </w:p>
    <w:p w:rsidR="006D331D" w:rsidRDefault="009F715C" w:rsidP="001F3ED5">
      <w:pPr>
        <w:spacing w:after="120" w:line="240" w:lineRule="auto"/>
        <w:ind w:left="720" w:hanging="862"/>
        <w:rPr>
          <w:rFonts w:asciiTheme="majorHAnsi" w:eastAsia="Times New Roman" w:hAnsiTheme="majorHAnsi" w:cs="Times New Roman"/>
          <w:b/>
          <w:color w:val="008080"/>
          <w:sz w:val="20"/>
          <w:szCs w:val="20"/>
          <w:lang w:val="en-US"/>
        </w:rPr>
      </w:pPr>
      <w:r w:rsidRPr="003A55C8">
        <w:rPr>
          <w:rFonts w:asciiTheme="majorHAnsi" w:eastAsia="Times New Roman" w:hAnsiTheme="majorHAnsi" w:cs="Times New Roman"/>
          <w:b/>
          <w:color w:val="008080"/>
          <w:sz w:val="20"/>
          <w:szCs w:val="20"/>
          <w:lang w:val="en-US"/>
        </w:rPr>
        <w:t xml:space="preserve"> </w:t>
      </w:r>
      <w:r w:rsidR="007B5200" w:rsidRPr="003A55C8">
        <w:rPr>
          <w:rFonts w:asciiTheme="majorHAnsi" w:eastAsia="Times New Roman" w:hAnsiTheme="majorHAnsi" w:cs="Times New Roman"/>
          <w:b/>
          <w:color w:val="008080"/>
          <w:sz w:val="20"/>
          <w:szCs w:val="20"/>
          <w:lang w:val="en-US"/>
        </w:rPr>
        <w:t>Strategic objectives review</w:t>
      </w:r>
      <w:r w:rsidR="0015101D" w:rsidRPr="003A55C8">
        <w:rPr>
          <w:rFonts w:asciiTheme="majorHAnsi" w:eastAsia="Times New Roman" w:hAnsiTheme="majorHAnsi" w:cs="Times New Roman"/>
          <w:b/>
          <w:color w:val="008080"/>
          <w:sz w:val="20"/>
          <w:szCs w:val="20"/>
          <w:lang w:val="en-US"/>
        </w:rPr>
        <w:t xml:space="preserve"> </w:t>
      </w:r>
      <w:r w:rsidR="007B5200" w:rsidRPr="003A55C8">
        <w:rPr>
          <w:rFonts w:asciiTheme="majorHAnsi" w:eastAsia="Times New Roman" w:hAnsiTheme="majorHAnsi" w:cs="Times New Roman"/>
          <w:b/>
          <w:color w:val="008080"/>
          <w:sz w:val="20"/>
          <w:szCs w:val="20"/>
          <w:lang w:val="en-US"/>
        </w:rPr>
        <w:t>r</w:t>
      </w:r>
      <w:r w:rsidR="000808AF" w:rsidRPr="003A55C8">
        <w:rPr>
          <w:rFonts w:asciiTheme="majorHAnsi" w:eastAsia="Times New Roman" w:hAnsiTheme="majorHAnsi" w:cs="Times New Roman"/>
          <w:b/>
          <w:color w:val="008080"/>
          <w:sz w:val="20"/>
          <w:szCs w:val="20"/>
          <w:lang w:val="en-US"/>
        </w:rPr>
        <w:t>eport (</w:t>
      </w:r>
      <w:r w:rsidR="004D2A9C">
        <w:rPr>
          <w:rFonts w:asciiTheme="majorHAnsi" w:eastAsia="Times New Roman" w:hAnsiTheme="majorHAnsi" w:cs="Times New Roman"/>
          <w:b/>
          <w:color w:val="008080"/>
          <w:sz w:val="20"/>
          <w:szCs w:val="20"/>
          <w:lang w:val="en-US"/>
        </w:rPr>
        <w:t>August 2017</w:t>
      </w:r>
      <w:r w:rsidR="000808AF" w:rsidRPr="003A55C8">
        <w:rPr>
          <w:rFonts w:asciiTheme="majorHAnsi" w:eastAsia="Times New Roman" w:hAnsiTheme="majorHAnsi" w:cs="Times New Roman"/>
          <w:b/>
          <w:color w:val="008080"/>
          <w:sz w:val="20"/>
          <w:szCs w:val="20"/>
          <w:lang w:val="en-US"/>
        </w:rPr>
        <w:t>)</w:t>
      </w:r>
    </w:p>
    <w:p w:rsidR="00ED2F6A" w:rsidRDefault="00ED2F6A" w:rsidP="001F3ED5">
      <w:pPr>
        <w:spacing w:after="120" w:line="240" w:lineRule="auto"/>
        <w:ind w:left="720" w:hanging="862"/>
        <w:rPr>
          <w:rFonts w:asciiTheme="majorHAnsi" w:eastAsia="Times New Roman" w:hAnsiTheme="majorHAnsi" w:cs="Times New Roman"/>
          <w:sz w:val="20"/>
          <w:szCs w:val="20"/>
          <w:lang w:val="en-US"/>
        </w:rPr>
      </w:pPr>
    </w:p>
    <w:p w:rsidR="00711677" w:rsidRPr="001F3ED5" w:rsidRDefault="00711677" w:rsidP="001F3ED5">
      <w:pPr>
        <w:spacing w:after="120" w:line="240" w:lineRule="auto"/>
        <w:ind w:left="720" w:hanging="862"/>
        <w:rPr>
          <w:rFonts w:asciiTheme="majorHAnsi" w:eastAsia="Times New Roman" w:hAnsiTheme="majorHAnsi" w:cs="Times New Roman"/>
          <w:sz w:val="20"/>
          <w:szCs w:val="20"/>
          <w:lang w:val="en-US"/>
        </w:rPr>
      </w:pPr>
    </w:p>
    <w:tbl>
      <w:tblPr>
        <w:tblStyle w:val="TableGrid"/>
        <w:tblW w:w="0" w:type="auto"/>
        <w:tblInd w:w="-356" w:type="dxa"/>
        <w:tblCellMar>
          <w:left w:w="115" w:type="dxa"/>
          <w:right w:w="115" w:type="dxa"/>
        </w:tblCellMar>
        <w:tblLook w:val="04A0" w:firstRow="1" w:lastRow="0" w:firstColumn="1" w:lastColumn="0" w:noHBand="0" w:noVBand="1"/>
      </w:tblPr>
      <w:tblGrid>
        <w:gridCol w:w="2246"/>
        <w:gridCol w:w="4021"/>
        <w:gridCol w:w="2779"/>
        <w:gridCol w:w="5255"/>
      </w:tblGrid>
      <w:tr w:rsidR="00711677" w:rsidRPr="007326AB" w:rsidTr="00711677">
        <w:tc>
          <w:tcPr>
            <w:tcW w:w="2246" w:type="dxa"/>
            <w:shd w:val="clear" w:color="auto" w:fill="244061" w:themeFill="accent1" w:themeFillShade="80"/>
            <w:vAlign w:val="center"/>
          </w:tcPr>
          <w:p w:rsidR="00711677" w:rsidRPr="007326AB" w:rsidRDefault="00711677"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Strategic objective</w:t>
            </w:r>
          </w:p>
          <w:p w:rsidR="00711677" w:rsidRPr="007326AB" w:rsidRDefault="00711677" w:rsidP="007326AB">
            <w:pPr>
              <w:spacing w:line="240" w:lineRule="atLeast"/>
              <w:jc w:val="center"/>
              <w:rPr>
                <w:rFonts w:asciiTheme="majorHAnsi" w:hAnsiTheme="majorHAnsi"/>
                <w:color w:val="FFFFFF" w:themeColor="background1"/>
              </w:rPr>
            </w:pPr>
            <w:r w:rsidRPr="007326AB">
              <w:rPr>
                <w:rFonts w:asciiTheme="majorHAnsi" w:hAnsiTheme="majorHAnsi"/>
                <w:color w:val="FFFFFF" w:themeColor="background1"/>
              </w:rPr>
              <w:t>(as per SP 2017-22)</w:t>
            </w:r>
          </w:p>
        </w:tc>
        <w:tc>
          <w:tcPr>
            <w:tcW w:w="4021" w:type="dxa"/>
            <w:shd w:val="clear" w:color="auto" w:fill="244061" w:themeFill="accent1" w:themeFillShade="80"/>
            <w:vAlign w:val="center"/>
          </w:tcPr>
          <w:p w:rsidR="00711677" w:rsidRPr="007326AB" w:rsidRDefault="00711677"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 xml:space="preserve">Strategies &amp; initiatives </w:t>
            </w:r>
          </w:p>
          <w:p w:rsidR="00711677" w:rsidRPr="007326AB" w:rsidRDefault="00711677" w:rsidP="007326AB">
            <w:pPr>
              <w:spacing w:line="240" w:lineRule="atLeast"/>
              <w:jc w:val="center"/>
              <w:rPr>
                <w:rFonts w:asciiTheme="majorHAnsi" w:hAnsiTheme="majorHAnsi"/>
                <w:color w:val="FFFFFF" w:themeColor="background1"/>
              </w:rPr>
            </w:pPr>
            <w:r w:rsidRPr="007326AB">
              <w:rPr>
                <w:rFonts w:asciiTheme="majorHAnsi" w:hAnsiTheme="majorHAnsi"/>
                <w:color w:val="FFFFFF" w:themeColor="background1"/>
              </w:rPr>
              <w:t>(as per SP 2017-22)</w:t>
            </w:r>
          </w:p>
        </w:tc>
        <w:tc>
          <w:tcPr>
            <w:tcW w:w="2779" w:type="dxa"/>
            <w:shd w:val="clear" w:color="auto" w:fill="244061" w:themeFill="accent1" w:themeFillShade="80"/>
            <w:vAlign w:val="center"/>
          </w:tcPr>
          <w:p w:rsidR="00711677" w:rsidRPr="007326AB" w:rsidRDefault="00711677"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P</w:t>
            </w:r>
            <w:r>
              <w:rPr>
                <w:rFonts w:asciiTheme="majorHAnsi" w:hAnsiTheme="majorHAnsi"/>
                <w:b/>
                <w:color w:val="FFFFFF" w:themeColor="background1"/>
              </w:rPr>
              <w:t>erformance</w:t>
            </w:r>
            <w:r w:rsidRPr="007326AB">
              <w:rPr>
                <w:rFonts w:asciiTheme="majorHAnsi" w:hAnsiTheme="majorHAnsi"/>
                <w:b/>
                <w:color w:val="FFFFFF" w:themeColor="background1"/>
              </w:rPr>
              <w:t xml:space="preserve">  </w:t>
            </w:r>
          </w:p>
          <w:p w:rsidR="00711677" w:rsidRPr="007326AB" w:rsidRDefault="00711677"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indicator</w:t>
            </w:r>
            <w:r w:rsidRPr="007326AB">
              <w:rPr>
                <w:rStyle w:val="FootnoteReference"/>
                <w:rFonts w:asciiTheme="majorHAnsi" w:hAnsiTheme="majorHAnsi"/>
                <w:b/>
                <w:color w:val="FFFFFF" w:themeColor="background1"/>
              </w:rPr>
              <w:footnoteReference w:id="1"/>
            </w:r>
          </w:p>
        </w:tc>
        <w:tc>
          <w:tcPr>
            <w:tcW w:w="5255" w:type="dxa"/>
            <w:shd w:val="clear" w:color="auto" w:fill="244061" w:themeFill="accent1" w:themeFillShade="80"/>
            <w:vAlign w:val="center"/>
          </w:tcPr>
          <w:p w:rsidR="00711677" w:rsidRPr="007326AB" w:rsidRDefault="00711677"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Action items</w:t>
            </w:r>
            <w:r w:rsidRPr="007326AB">
              <w:rPr>
                <w:rStyle w:val="FootnoteReference"/>
                <w:rFonts w:asciiTheme="majorHAnsi" w:hAnsiTheme="majorHAnsi"/>
                <w:b/>
                <w:color w:val="FFFFFF" w:themeColor="background1"/>
              </w:rPr>
              <w:footnoteReference w:id="2"/>
            </w:r>
          </w:p>
          <w:p w:rsidR="00711677" w:rsidRPr="007326AB" w:rsidRDefault="00711677"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 xml:space="preserve">and other comment </w:t>
            </w:r>
          </w:p>
        </w:tc>
      </w:tr>
      <w:tr w:rsidR="00711677" w:rsidRPr="007326AB" w:rsidTr="00711677">
        <w:trPr>
          <w:gridAfter w:val="3"/>
          <w:wAfter w:w="12055" w:type="dxa"/>
        </w:trPr>
        <w:tc>
          <w:tcPr>
            <w:tcW w:w="2246" w:type="dxa"/>
            <w:shd w:val="clear" w:color="auto" w:fill="DBE5F1" w:themeFill="accent1" w:themeFillTint="33"/>
            <w:vAlign w:val="center"/>
          </w:tcPr>
          <w:p w:rsidR="00711677" w:rsidRPr="007326AB" w:rsidRDefault="00711677" w:rsidP="007326AB">
            <w:pPr>
              <w:pStyle w:val="ListParagraph"/>
              <w:rPr>
                <w:rFonts w:asciiTheme="majorHAnsi" w:eastAsia="Calibri" w:hAnsiTheme="majorHAnsi"/>
                <w:b/>
                <w:color w:val="244061" w:themeColor="accent1" w:themeShade="80"/>
                <w:spacing w:val="-2"/>
              </w:rPr>
            </w:pPr>
          </w:p>
        </w:tc>
      </w:tr>
      <w:tr w:rsidR="00937EB2" w:rsidRPr="007326AB" w:rsidTr="000017F8">
        <w:trPr>
          <w:trHeight w:val="4230"/>
        </w:trPr>
        <w:tc>
          <w:tcPr>
            <w:tcW w:w="2246" w:type="dxa"/>
            <w:vAlign w:val="center"/>
          </w:tcPr>
          <w:p w:rsidR="00937EB2" w:rsidRPr="004D2A9C" w:rsidRDefault="00937EB2" w:rsidP="00C550F2">
            <w:pPr>
              <w:autoSpaceDE w:val="0"/>
              <w:autoSpaceDN w:val="0"/>
              <w:adjustRightInd w:val="0"/>
              <w:spacing w:after="120" w:line="240" w:lineRule="auto"/>
              <w:rPr>
                <w:rFonts w:asciiTheme="majorHAnsi" w:hAnsiTheme="majorHAnsi"/>
              </w:rPr>
            </w:pPr>
            <w:r w:rsidRPr="004D2A9C">
              <w:rPr>
                <w:rFonts w:asciiTheme="majorHAnsi" w:hAnsiTheme="majorHAnsi" w:cs="Arial"/>
              </w:rPr>
              <w:t>Develop tools and knowledge-sharing opportunities to enhance the capacity of supreme audit institutions (SAIs) to evaluate financial modernization and regulatory reforms on a national level</w:t>
            </w:r>
          </w:p>
          <w:p w:rsidR="00937EB2" w:rsidRPr="007326AB" w:rsidRDefault="00937EB2" w:rsidP="00C550F2">
            <w:pPr>
              <w:autoSpaceDE w:val="0"/>
              <w:autoSpaceDN w:val="0"/>
              <w:adjustRightInd w:val="0"/>
              <w:spacing w:after="120" w:line="240" w:lineRule="auto"/>
              <w:rPr>
                <w:rFonts w:asciiTheme="majorHAnsi" w:eastAsia="Calibri" w:hAnsiTheme="majorHAnsi"/>
                <w:spacing w:val="-2"/>
              </w:rPr>
            </w:pPr>
          </w:p>
        </w:tc>
        <w:tc>
          <w:tcPr>
            <w:tcW w:w="4021" w:type="dxa"/>
            <w:shd w:val="clear" w:color="auto" w:fill="auto"/>
            <w:vAlign w:val="center"/>
          </w:tcPr>
          <w:p w:rsidR="00F53803" w:rsidRDefault="00F53803" w:rsidP="00C550F2">
            <w:pPr>
              <w:spacing w:after="120" w:line="240" w:lineRule="auto"/>
              <w:rPr>
                <w:rFonts w:asciiTheme="majorHAnsi" w:eastAsia="Calibri" w:hAnsiTheme="majorHAnsi"/>
                <w:spacing w:val="-1"/>
              </w:rPr>
            </w:pPr>
          </w:p>
          <w:p w:rsidR="00E5195F" w:rsidRDefault="00F53803" w:rsidP="00C550F2">
            <w:pPr>
              <w:spacing w:after="120" w:line="240" w:lineRule="auto"/>
              <w:rPr>
                <w:rFonts w:asciiTheme="majorHAnsi" w:eastAsia="Calibri" w:hAnsiTheme="majorHAnsi"/>
                <w:spacing w:val="-1"/>
              </w:rPr>
            </w:pPr>
            <w:r>
              <w:rPr>
                <w:rFonts w:asciiTheme="majorHAnsi" w:eastAsia="Calibri" w:hAnsiTheme="majorHAnsi"/>
                <w:spacing w:val="-1"/>
              </w:rPr>
              <w:t xml:space="preserve">Identify and catalog </w:t>
            </w:r>
            <w:r w:rsidR="00E5195F" w:rsidRPr="00E5195F">
              <w:rPr>
                <w:rFonts w:asciiTheme="majorHAnsi" w:eastAsia="Calibri" w:hAnsiTheme="majorHAnsi"/>
                <w:spacing w:val="-1"/>
              </w:rPr>
              <w:t xml:space="preserve">tools and methodologies </w:t>
            </w:r>
            <w:r>
              <w:rPr>
                <w:rFonts w:asciiTheme="majorHAnsi" w:eastAsia="Calibri" w:hAnsiTheme="majorHAnsi"/>
                <w:spacing w:val="-1"/>
              </w:rPr>
              <w:t>used by SAIs</w:t>
            </w:r>
            <w:r w:rsidR="00B726DF">
              <w:rPr>
                <w:rFonts w:asciiTheme="majorHAnsi" w:eastAsia="Calibri" w:hAnsiTheme="majorHAnsi"/>
                <w:spacing w:val="-1"/>
              </w:rPr>
              <w:t xml:space="preserve"> for auditing financial reforms and</w:t>
            </w:r>
            <w:r>
              <w:rPr>
                <w:rFonts w:asciiTheme="majorHAnsi" w:eastAsia="Calibri" w:hAnsiTheme="majorHAnsi"/>
                <w:spacing w:val="-1"/>
              </w:rPr>
              <w:t xml:space="preserve"> </w:t>
            </w:r>
            <w:r w:rsidR="00E5195F" w:rsidRPr="00E5195F">
              <w:rPr>
                <w:rFonts w:asciiTheme="majorHAnsi" w:eastAsia="Calibri" w:hAnsiTheme="majorHAnsi"/>
                <w:spacing w:val="-1"/>
              </w:rPr>
              <w:t xml:space="preserve">leading practices </w:t>
            </w:r>
            <w:r w:rsidR="00B726DF">
              <w:rPr>
                <w:rFonts w:asciiTheme="majorHAnsi" w:eastAsia="Calibri" w:hAnsiTheme="majorHAnsi"/>
                <w:spacing w:val="-1"/>
              </w:rPr>
              <w:t xml:space="preserve">from </w:t>
            </w:r>
            <w:r w:rsidR="00E5195F" w:rsidRPr="00E5195F">
              <w:rPr>
                <w:rFonts w:asciiTheme="majorHAnsi" w:eastAsia="Calibri" w:hAnsiTheme="majorHAnsi"/>
                <w:spacing w:val="-1"/>
              </w:rPr>
              <w:t xml:space="preserve">doing audits and reviews of </w:t>
            </w:r>
            <w:r w:rsidR="00B726DF">
              <w:rPr>
                <w:rFonts w:asciiTheme="majorHAnsi" w:eastAsia="Calibri" w:hAnsiTheme="majorHAnsi"/>
                <w:spacing w:val="-1"/>
              </w:rPr>
              <w:t>financial regulatory reforms</w:t>
            </w:r>
          </w:p>
          <w:p w:rsidR="00E5195F" w:rsidRPr="00E5195F" w:rsidRDefault="00B726DF" w:rsidP="00C550F2">
            <w:pPr>
              <w:spacing w:after="120" w:line="240" w:lineRule="auto"/>
              <w:rPr>
                <w:rFonts w:asciiTheme="majorHAnsi" w:eastAsia="Calibri" w:hAnsiTheme="majorHAnsi"/>
                <w:spacing w:val="-1"/>
              </w:rPr>
            </w:pPr>
            <w:r>
              <w:rPr>
                <w:rFonts w:asciiTheme="majorHAnsi" w:eastAsia="Calibri" w:hAnsiTheme="majorHAnsi"/>
                <w:spacing w:val="-1"/>
              </w:rPr>
              <w:t xml:space="preserve">Identify and assess </w:t>
            </w:r>
            <w:r w:rsidR="00E5195F" w:rsidRPr="00E5195F">
              <w:rPr>
                <w:rFonts w:asciiTheme="majorHAnsi" w:eastAsia="Calibri" w:hAnsiTheme="majorHAnsi"/>
                <w:spacing w:val="-1"/>
              </w:rPr>
              <w:t xml:space="preserve">the key challenges </w:t>
            </w:r>
            <w:r>
              <w:rPr>
                <w:rFonts w:asciiTheme="majorHAnsi" w:eastAsia="Calibri" w:hAnsiTheme="majorHAnsi"/>
                <w:spacing w:val="-1"/>
              </w:rPr>
              <w:t xml:space="preserve">faced by SAIs in auditing financial reforms and </w:t>
            </w:r>
            <w:r w:rsidR="00E5195F" w:rsidRPr="00E5195F">
              <w:rPr>
                <w:rFonts w:asciiTheme="majorHAnsi" w:eastAsia="Calibri" w:hAnsiTheme="majorHAnsi"/>
                <w:spacing w:val="-1"/>
              </w:rPr>
              <w:t xml:space="preserve"> how </w:t>
            </w:r>
            <w:r>
              <w:rPr>
                <w:rFonts w:asciiTheme="majorHAnsi" w:eastAsia="Calibri" w:hAnsiTheme="majorHAnsi"/>
                <w:spacing w:val="-1"/>
              </w:rPr>
              <w:t>the Working Group can help address them, such as through training or guidance</w:t>
            </w:r>
          </w:p>
          <w:p w:rsidR="00E5195F" w:rsidRPr="00E5195F" w:rsidRDefault="00B726DF" w:rsidP="00C550F2">
            <w:pPr>
              <w:spacing w:after="120" w:line="240" w:lineRule="auto"/>
              <w:rPr>
                <w:rFonts w:asciiTheme="majorHAnsi" w:eastAsia="Calibri" w:hAnsiTheme="majorHAnsi"/>
                <w:spacing w:val="-1"/>
              </w:rPr>
            </w:pPr>
            <w:r>
              <w:rPr>
                <w:rFonts w:asciiTheme="majorHAnsi" w:eastAsia="Calibri" w:hAnsiTheme="majorHAnsi"/>
                <w:spacing w:val="-1"/>
              </w:rPr>
              <w:t xml:space="preserve">Explore ways in which the </w:t>
            </w:r>
            <w:r w:rsidR="00E5195F" w:rsidRPr="00E5195F">
              <w:rPr>
                <w:rFonts w:asciiTheme="majorHAnsi" w:eastAsia="Calibri" w:hAnsiTheme="majorHAnsi"/>
                <w:spacing w:val="-1"/>
              </w:rPr>
              <w:t xml:space="preserve">Working Group </w:t>
            </w:r>
            <w:r>
              <w:rPr>
                <w:rFonts w:asciiTheme="majorHAnsi" w:eastAsia="Calibri" w:hAnsiTheme="majorHAnsi"/>
                <w:spacing w:val="-1"/>
              </w:rPr>
              <w:t xml:space="preserve">can </w:t>
            </w:r>
            <w:r w:rsidR="00E5195F" w:rsidRPr="00E5195F">
              <w:rPr>
                <w:rFonts w:asciiTheme="majorHAnsi" w:eastAsia="Calibri" w:hAnsiTheme="majorHAnsi"/>
                <w:spacing w:val="-1"/>
              </w:rPr>
              <w:t xml:space="preserve">coordinate </w:t>
            </w:r>
            <w:r>
              <w:rPr>
                <w:rFonts w:asciiTheme="majorHAnsi" w:eastAsia="Calibri" w:hAnsiTheme="majorHAnsi"/>
                <w:spacing w:val="-1"/>
              </w:rPr>
              <w:t xml:space="preserve">and leverage knowledge, skills, and abilities </w:t>
            </w:r>
            <w:r w:rsidR="00E5195F" w:rsidRPr="00E5195F">
              <w:rPr>
                <w:rFonts w:asciiTheme="majorHAnsi" w:eastAsia="Calibri" w:hAnsiTheme="majorHAnsi"/>
                <w:spacing w:val="-1"/>
              </w:rPr>
              <w:t>with other INTOSAI Groups</w:t>
            </w:r>
            <w:r>
              <w:rPr>
                <w:rFonts w:asciiTheme="majorHAnsi" w:eastAsia="Calibri" w:hAnsiTheme="majorHAnsi"/>
                <w:spacing w:val="-1"/>
              </w:rPr>
              <w:t>, such as</w:t>
            </w:r>
            <w:r w:rsidR="00E5195F" w:rsidRPr="00E5195F">
              <w:rPr>
                <w:rFonts w:asciiTheme="majorHAnsi" w:eastAsia="Calibri" w:hAnsiTheme="majorHAnsi"/>
                <w:spacing w:val="-1"/>
              </w:rPr>
              <w:t xml:space="preserve"> the Working Group on Public Debt and the Working Group on Key National Indicators </w:t>
            </w:r>
          </w:p>
          <w:p w:rsidR="00937EB2" w:rsidRPr="007326AB" w:rsidRDefault="00B726DF" w:rsidP="00C550F2">
            <w:pPr>
              <w:spacing w:after="120" w:line="240" w:lineRule="auto"/>
              <w:rPr>
                <w:rFonts w:asciiTheme="majorHAnsi" w:eastAsia="Calibri" w:hAnsiTheme="majorHAnsi"/>
                <w:spacing w:val="-1"/>
              </w:rPr>
            </w:pPr>
            <w:r>
              <w:rPr>
                <w:rFonts w:asciiTheme="majorHAnsi" w:eastAsia="Calibri" w:hAnsiTheme="majorHAnsi"/>
                <w:spacing w:val="-1"/>
              </w:rPr>
              <w:t>Explore ways in which SAIs could engage in parallel or other types of coordinated audits to share knowledge and enhance skills.</w:t>
            </w:r>
          </w:p>
        </w:tc>
        <w:tc>
          <w:tcPr>
            <w:tcW w:w="2779" w:type="dxa"/>
            <w:shd w:val="clear" w:color="auto" w:fill="auto"/>
            <w:vAlign w:val="center"/>
          </w:tcPr>
          <w:p w:rsidR="00937EB2" w:rsidRDefault="00937EB2" w:rsidP="00C550F2">
            <w:pPr>
              <w:spacing w:after="120" w:line="240" w:lineRule="auto"/>
              <w:rPr>
                <w:rFonts w:asciiTheme="majorHAnsi" w:hAnsiTheme="majorHAnsi"/>
              </w:rPr>
            </w:pPr>
            <w:r>
              <w:rPr>
                <w:rFonts w:asciiTheme="majorHAnsi" w:hAnsiTheme="majorHAnsi"/>
              </w:rPr>
              <w:t xml:space="preserve">Number of </w:t>
            </w:r>
            <w:r w:rsidR="00C550F2">
              <w:rPr>
                <w:rFonts w:asciiTheme="majorHAnsi" w:hAnsiTheme="majorHAnsi"/>
              </w:rPr>
              <w:t>training courses organized, developed, or led by the Working Group</w:t>
            </w:r>
          </w:p>
          <w:p w:rsidR="00C550F2" w:rsidRDefault="00C550F2" w:rsidP="00C550F2">
            <w:pPr>
              <w:spacing w:after="120" w:line="240" w:lineRule="auto"/>
              <w:rPr>
                <w:rFonts w:asciiTheme="majorHAnsi" w:hAnsiTheme="majorHAnsi"/>
              </w:rPr>
            </w:pPr>
            <w:r>
              <w:rPr>
                <w:rFonts w:asciiTheme="majorHAnsi" w:hAnsiTheme="majorHAnsi"/>
              </w:rPr>
              <w:t>Number of collaborative information-sharing activities engaged in by the Working Group’s members, such as through parallel audits, provision of technical assistance, or meetings with other Working Groups</w:t>
            </w:r>
          </w:p>
          <w:p w:rsidR="00C550F2" w:rsidRPr="007326AB" w:rsidRDefault="00C550F2" w:rsidP="00C550F2">
            <w:pPr>
              <w:spacing w:after="120" w:line="240" w:lineRule="auto"/>
              <w:rPr>
                <w:rFonts w:asciiTheme="majorHAnsi" w:hAnsiTheme="majorHAnsi"/>
              </w:rPr>
            </w:pPr>
            <w:r>
              <w:rPr>
                <w:rFonts w:asciiTheme="majorHAnsi" w:hAnsiTheme="majorHAnsi"/>
              </w:rPr>
              <w:t>Number of times SAIs accessed the Working Group’s website to download information</w:t>
            </w:r>
          </w:p>
        </w:tc>
        <w:tc>
          <w:tcPr>
            <w:tcW w:w="5255" w:type="dxa"/>
            <w:shd w:val="clear" w:color="auto" w:fill="FFFFFF" w:themeFill="background1"/>
            <w:vAlign w:val="center"/>
          </w:tcPr>
          <w:p w:rsidR="00937EB2" w:rsidRDefault="00937EB2" w:rsidP="00C550F2">
            <w:pPr>
              <w:spacing w:after="120" w:line="240" w:lineRule="auto"/>
            </w:pPr>
            <w:r>
              <w:t>Progress to date</w:t>
            </w:r>
            <w:r w:rsidR="00973337">
              <w:t>:</w:t>
            </w:r>
          </w:p>
          <w:p w:rsidR="00E5195F" w:rsidRDefault="00E5195F" w:rsidP="00C550F2">
            <w:pPr>
              <w:spacing w:after="120" w:line="240" w:lineRule="auto"/>
            </w:pPr>
            <w:r>
              <w:t>Completed a survey of the Working Group’s members to document the scope of their mandates to audit financial regulatory reforms</w:t>
            </w:r>
          </w:p>
          <w:p w:rsidR="00C550F2" w:rsidRDefault="00C550F2" w:rsidP="00C550F2">
            <w:pPr>
              <w:spacing w:after="120" w:line="240" w:lineRule="auto"/>
            </w:pPr>
            <w:r>
              <w:t>Developed a database of audits by SAIs related to financial regulatory reforms</w:t>
            </w:r>
          </w:p>
          <w:p w:rsidR="00E5195F" w:rsidRDefault="00E5195F" w:rsidP="00C550F2">
            <w:pPr>
              <w:spacing w:after="120" w:line="240" w:lineRule="auto"/>
            </w:pPr>
            <w:r>
              <w:t>Launched the Working Group’s website in 2016 to enhance information sharing and collaboration among SAIs</w:t>
            </w:r>
          </w:p>
          <w:p w:rsidR="00937EB2" w:rsidRDefault="00973337" w:rsidP="00C550F2">
            <w:pPr>
              <w:spacing w:after="120" w:line="240" w:lineRule="auto"/>
            </w:pPr>
            <w:r>
              <w:t xml:space="preserve">Held four annual meetings since 2014 </w:t>
            </w:r>
            <w:r w:rsidR="00E5195F">
              <w:t xml:space="preserve">during which the </w:t>
            </w:r>
            <w:r>
              <w:t>Working Group’s members have shared information about their audits, including methodologies</w:t>
            </w:r>
            <w:r w:rsidR="00E5195F">
              <w:t xml:space="preserve">, and enhanced their knowledge about the G20’s financial regulatory reforms </w:t>
            </w:r>
            <w:r>
              <w:t xml:space="preserve"> </w:t>
            </w:r>
          </w:p>
          <w:p w:rsidR="00973337" w:rsidRDefault="00973337" w:rsidP="00C550F2">
            <w:pPr>
              <w:spacing w:after="120" w:line="240" w:lineRule="auto"/>
            </w:pPr>
            <w:r>
              <w:t xml:space="preserve">Held a </w:t>
            </w:r>
            <w:r w:rsidR="00E5195F">
              <w:t xml:space="preserve">training </w:t>
            </w:r>
            <w:r>
              <w:t xml:space="preserve">workshop </w:t>
            </w:r>
            <w:r w:rsidR="00E5195F">
              <w:t>in 2017 on the development and use of criteria for financial sector audits</w:t>
            </w:r>
          </w:p>
          <w:p w:rsidR="00937EB2" w:rsidRDefault="00937EB2" w:rsidP="00C550F2">
            <w:pPr>
              <w:spacing w:after="120" w:line="240" w:lineRule="auto"/>
            </w:pPr>
            <w:r>
              <w:t>Action items / key next steps:</w:t>
            </w:r>
          </w:p>
          <w:p w:rsidR="005D17DA" w:rsidRPr="007326AB" w:rsidRDefault="005D17DA" w:rsidP="00C550F2">
            <w:pPr>
              <w:spacing w:after="120" w:line="240" w:lineRule="auto"/>
              <w:rPr>
                <w:rFonts w:asciiTheme="majorHAnsi" w:hAnsiTheme="majorHAnsi"/>
              </w:rPr>
            </w:pPr>
            <w:r>
              <w:rPr>
                <w:rFonts w:asciiTheme="majorHAnsi" w:hAnsiTheme="majorHAnsi"/>
              </w:rPr>
              <w:t>Update terms of work by developing new work streams in 2018 to further achieve this strategic objective</w:t>
            </w:r>
            <w:r w:rsidR="00C550F2">
              <w:rPr>
                <w:rFonts w:asciiTheme="majorHAnsi" w:hAnsiTheme="majorHAnsi"/>
              </w:rPr>
              <w:t>, such as by developing more formal or informal training opportunities</w:t>
            </w:r>
          </w:p>
        </w:tc>
      </w:tr>
      <w:tr w:rsidR="00937EB2" w:rsidRPr="007326AB" w:rsidTr="00A639F9">
        <w:trPr>
          <w:trHeight w:val="3936"/>
        </w:trPr>
        <w:tc>
          <w:tcPr>
            <w:tcW w:w="2246" w:type="dxa"/>
            <w:vAlign w:val="center"/>
          </w:tcPr>
          <w:p w:rsidR="00937EB2" w:rsidRPr="00937EB2" w:rsidRDefault="00937EB2" w:rsidP="00C550F2">
            <w:pPr>
              <w:spacing w:after="120" w:line="240" w:lineRule="auto"/>
              <w:rPr>
                <w:rFonts w:asciiTheme="majorHAnsi" w:hAnsiTheme="majorHAnsi"/>
              </w:rPr>
            </w:pPr>
            <w:r>
              <w:rPr>
                <w:rFonts w:asciiTheme="majorHAnsi" w:hAnsiTheme="majorHAnsi" w:cs="Arial"/>
              </w:rPr>
              <w:lastRenderedPageBreak/>
              <w:t>E</w:t>
            </w:r>
            <w:r w:rsidRPr="00937EB2">
              <w:rPr>
                <w:rFonts w:asciiTheme="majorHAnsi" w:hAnsiTheme="majorHAnsi" w:cs="Arial"/>
              </w:rPr>
              <w:t>stablish mechanisms for sharing information on progress of financial modernization and regulatory reforms between SAIs and international organizations</w:t>
            </w:r>
          </w:p>
        </w:tc>
        <w:tc>
          <w:tcPr>
            <w:tcW w:w="4021" w:type="dxa"/>
            <w:shd w:val="clear" w:color="auto" w:fill="auto"/>
            <w:vAlign w:val="center"/>
          </w:tcPr>
          <w:p w:rsidR="00065F77" w:rsidRDefault="004715C1" w:rsidP="00C550F2">
            <w:pPr>
              <w:autoSpaceDE w:val="0"/>
              <w:autoSpaceDN w:val="0"/>
              <w:adjustRightInd w:val="0"/>
              <w:spacing w:after="120" w:line="240" w:lineRule="auto"/>
              <w:rPr>
                <w:rFonts w:asciiTheme="majorHAnsi" w:hAnsiTheme="majorHAnsi"/>
              </w:rPr>
            </w:pPr>
            <w:r>
              <w:rPr>
                <w:rFonts w:asciiTheme="majorHAnsi" w:hAnsiTheme="majorHAnsi"/>
              </w:rPr>
              <w:t xml:space="preserve">Identify international organizations involved in implementing the G20’s financial regulatory reforms, including their roles and responsibilities, </w:t>
            </w:r>
            <w:r w:rsidR="00065F77">
              <w:rPr>
                <w:rFonts w:asciiTheme="majorHAnsi" w:hAnsiTheme="majorHAnsi"/>
              </w:rPr>
              <w:t xml:space="preserve">and relevant contact information (e.g., </w:t>
            </w:r>
            <w:r w:rsidR="0063231B">
              <w:rPr>
                <w:rFonts w:asciiTheme="majorHAnsi" w:hAnsiTheme="majorHAnsi"/>
              </w:rPr>
              <w:t xml:space="preserve">name of key officials and their </w:t>
            </w:r>
            <w:r w:rsidR="00065F77">
              <w:rPr>
                <w:rFonts w:asciiTheme="majorHAnsi" w:hAnsiTheme="majorHAnsi"/>
              </w:rPr>
              <w:t>e-mail addresses or telephone numbers)</w:t>
            </w:r>
          </w:p>
          <w:p w:rsidR="0063231B" w:rsidRDefault="00065F77" w:rsidP="00C550F2">
            <w:pPr>
              <w:autoSpaceDE w:val="0"/>
              <w:autoSpaceDN w:val="0"/>
              <w:adjustRightInd w:val="0"/>
              <w:spacing w:after="120" w:line="240" w:lineRule="auto"/>
              <w:rPr>
                <w:rFonts w:asciiTheme="majorHAnsi" w:hAnsiTheme="majorHAnsi"/>
              </w:rPr>
            </w:pPr>
            <w:r>
              <w:rPr>
                <w:rFonts w:asciiTheme="majorHAnsi" w:hAnsiTheme="majorHAnsi"/>
              </w:rPr>
              <w:t>P</w:t>
            </w:r>
            <w:r w:rsidR="004715C1">
              <w:rPr>
                <w:rFonts w:asciiTheme="majorHAnsi" w:hAnsiTheme="majorHAnsi"/>
              </w:rPr>
              <w:t xml:space="preserve">rioritize the Working Group’s outreach efforts to </w:t>
            </w:r>
            <w:r>
              <w:rPr>
                <w:rFonts w:asciiTheme="majorHAnsi" w:hAnsiTheme="majorHAnsi"/>
              </w:rPr>
              <w:t xml:space="preserve">international </w:t>
            </w:r>
            <w:r w:rsidR="004715C1">
              <w:rPr>
                <w:rFonts w:asciiTheme="majorHAnsi" w:hAnsiTheme="majorHAnsi"/>
              </w:rPr>
              <w:t>organizations</w:t>
            </w:r>
            <w:r>
              <w:rPr>
                <w:rFonts w:asciiTheme="majorHAnsi" w:hAnsiTheme="majorHAnsi"/>
              </w:rPr>
              <w:t xml:space="preserve">, focusing on those </w:t>
            </w:r>
            <w:r w:rsidR="0063231B">
              <w:rPr>
                <w:rFonts w:asciiTheme="majorHAnsi" w:hAnsiTheme="majorHAnsi"/>
              </w:rPr>
              <w:t xml:space="preserve">organizations </w:t>
            </w:r>
            <w:r>
              <w:rPr>
                <w:rFonts w:asciiTheme="majorHAnsi" w:hAnsiTheme="majorHAnsi"/>
              </w:rPr>
              <w:t>responsible for establishing standards</w:t>
            </w:r>
            <w:r w:rsidR="0063231B">
              <w:rPr>
                <w:rFonts w:asciiTheme="majorHAnsi" w:hAnsiTheme="majorHAnsi"/>
              </w:rPr>
              <w:t xml:space="preserve"> to promote fin</w:t>
            </w:r>
            <w:r w:rsidR="003179D2">
              <w:rPr>
                <w:rFonts w:asciiTheme="majorHAnsi" w:hAnsiTheme="majorHAnsi"/>
              </w:rPr>
              <w:t>ancial stability</w:t>
            </w:r>
          </w:p>
          <w:p w:rsidR="004715C1" w:rsidRDefault="0063231B" w:rsidP="00C550F2">
            <w:pPr>
              <w:autoSpaceDE w:val="0"/>
              <w:autoSpaceDN w:val="0"/>
              <w:adjustRightInd w:val="0"/>
              <w:spacing w:after="120" w:line="240" w:lineRule="auto"/>
              <w:rPr>
                <w:rFonts w:ascii="Arial" w:hAnsi="Arial" w:cs="Arial"/>
                <w:sz w:val="24"/>
                <w:szCs w:val="24"/>
              </w:rPr>
            </w:pPr>
            <w:r>
              <w:rPr>
                <w:rFonts w:asciiTheme="majorHAnsi" w:hAnsiTheme="majorHAnsi"/>
              </w:rPr>
              <w:t>De</w:t>
            </w:r>
            <w:r w:rsidR="004715C1">
              <w:rPr>
                <w:rFonts w:asciiTheme="majorHAnsi" w:hAnsiTheme="majorHAnsi"/>
              </w:rPr>
              <w:t xml:space="preserve">velop </w:t>
            </w:r>
            <w:r>
              <w:rPr>
                <w:rFonts w:asciiTheme="majorHAnsi" w:hAnsiTheme="majorHAnsi"/>
              </w:rPr>
              <w:t>strategies</w:t>
            </w:r>
            <w:r w:rsidR="004715C1">
              <w:rPr>
                <w:rFonts w:asciiTheme="majorHAnsi" w:hAnsiTheme="majorHAnsi"/>
              </w:rPr>
              <w:t xml:space="preserve"> for </w:t>
            </w:r>
            <w:r w:rsidR="00065F77">
              <w:rPr>
                <w:rFonts w:asciiTheme="majorHAnsi" w:hAnsiTheme="majorHAnsi"/>
              </w:rPr>
              <w:t xml:space="preserve">contacting and </w:t>
            </w:r>
            <w:r w:rsidR="004715C1">
              <w:rPr>
                <w:rFonts w:asciiTheme="majorHAnsi" w:hAnsiTheme="majorHAnsi"/>
              </w:rPr>
              <w:t>establishing worki</w:t>
            </w:r>
            <w:r w:rsidR="00065F77">
              <w:rPr>
                <w:rFonts w:asciiTheme="majorHAnsi" w:hAnsiTheme="majorHAnsi"/>
              </w:rPr>
              <w:t>ng relationship</w:t>
            </w:r>
            <w:r>
              <w:rPr>
                <w:rFonts w:asciiTheme="majorHAnsi" w:hAnsiTheme="majorHAnsi"/>
              </w:rPr>
              <w:t>s</w:t>
            </w:r>
            <w:r w:rsidR="00065F77">
              <w:rPr>
                <w:rFonts w:asciiTheme="majorHAnsi" w:hAnsiTheme="majorHAnsi"/>
              </w:rPr>
              <w:t xml:space="preserve"> with international organizations, including developing protocols for sharing information on a bilateral basis</w:t>
            </w:r>
          </w:p>
          <w:p w:rsidR="00937EB2" w:rsidRPr="00E62414" w:rsidRDefault="00937EB2" w:rsidP="00C550F2">
            <w:pPr>
              <w:autoSpaceDE w:val="0"/>
              <w:autoSpaceDN w:val="0"/>
              <w:adjustRightInd w:val="0"/>
              <w:spacing w:after="120" w:line="240" w:lineRule="auto"/>
              <w:rPr>
                <w:rFonts w:asciiTheme="majorHAnsi" w:hAnsiTheme="majorHAnsi"/>
              </w:rPr>
            </w:pPr>
          </w:p>
        </w:tc>
        <w:tc>
          <w:tcPr>
            <w:tcW w:w="2779" w:type="dxa"/>
            <w:shd w:val="clear" w:color="auto" w:fill="auto"/>
            <w:vAlign w:val="center"/>
          </w:tcPr>
          <w:p w:rsidR="00937EB2" w:rsidRDefault="00937EB2" w:rsidP="00C550F2">
            <w:pPr>
              <w:spacing w:after="120" w:line="240" w:lineRule="auto"/>
              <w:rPr>
                <w:rFonts w:asciiTheme="majorHAnsi" w:hAnsiTheme="majorHAnsi"/>
              </w:rPr>
            </w:pPr>
            <w:r>
              <w:rPr>
                <w:rFonts w:asciiTheme="majorHAnsi" w:hAnsiTheme="majorHAnsi"/>
              </w:rPr>
              <w:t>Number of international organizations with which the Working Group has est</w:t>
            </w:r>
            <w:r w:rsidR="003179D2">
              <w:rPr>
                <w:rFonts w:asciiTheme="majorHAnsi" w:hAnsiTheme="majorHAnsi"/>
              </w:rPr>
              <w:t>ablished a working relationship</w:t>
            </w:r>
          </w:p>
          <w:p w:rsidR="00937EB2" w:rsidRDefault="00937EB2" w:rsidP="00C550F2">
            <w:pPr>
              <w:spacing w:after="120" w:line="240" w:lineRule="auto"/>
              <w:rPr>
                <w:rFonts w:asciiTheme="majorHAnsi" w:hAnsiTheme="majorHAnsi"/>
              </w:rPr>
            </w:pPr>
            <w:r>
              <w:rPr>
                <w:rFonts w:asciiTheme="majorHAnsi" w:hAnsiTheme="majorHAnsi"/>
              </w:rPr>
              <w:t>Number of meetings or other activities with which the Working Group and international organizations shared information</w:t>
            </w:r>
            <w:r w:rsidR="004715C1">
              <w:rPr>
                <w:rFonts w:asciiTheme="majorHAnsi" w:hAnsiTheme="majorHAnsi"/>
              </w:rPr>
              <w:t xml:space="preserve"> on an annual basis</w:t>
            </w:r>
          </w:p>
          <w:p w:rsidR="00D431B1" w:rsidRDefault="00D431B1" w:rsidP="00C550F2">
            <w:pPr>
              <w:spacing w:after="120" w:line="240" w:lineRule="auto"/>
              <w:rPr>
                <w:rFonts w:asciiTheme="majorHAnsi" w:hAnsiTheme="majorHAnsi"/>
              </w:rPr>
            </w:pPr>
            <w:r>
              <w:rPr>
                <w:rFonts w:asciiTheme="majorHAnsi" w:hAnsiTheme="majorHAnsi"/>
              </w:rPr>
              <w:t>Number of international organizations to which the Working Group has engaged in outreach efforts</w:t>
            </w:r>
          </w:p>
          <w:p w:rsidR="00937EB2" w:rsidRPr="007326AB" w:rsidRDefault="00937EB2" w:rsidP="00C550F2">
            <w:pPr>
              <w:spacing w:after="120" w:line="240" w:lineRule="auto"/>
              <w:rPr>
                <w:rFonts w:asciiTheme="majorHAnsi" w:hAnsiTheme="majorHAnsi"/>
              </w:rPr>
            </w:pPr>
          </w:p>
        </w:tc>
        <w:tc>
          <w:tcPr>
            <w:tcW w:w="5255" w:type="dxa"/>
            <w:shd w:val="clear" w:color="auto" w:fill="FFFFFF" w:themeFill="background1"/>
            <w:vAlign w:val="center"/>
          </w:tcPr>
          <w:p w:rsidR="0063231B" w:rsidRDefault="0063231B" w:rsidP="00C550F2">
            <w:pPr>
              <w:spacing w:after="120" w:line="240" w:lineRule="auto"/>
            </w:pPr>
            <w:r>
              <w:t>Progress to date</w:t>
            </w:r>
            <w:r w:rsidR="003179D2">
              <w:t>:</w:t>
            </w:r>
          </w:p>
          <w:p w:rsidR="00910FA3" w:rsidRDefault="0063231B" w:rsidP="00C550F2">
            <w:pPr>
              <w:spacing w:after="120" w:line="240" w:lineRule="auto"/>
            </w:pPr>
            <w:r>
              <w:t xml:space="preserve">Established working relationships with the </w:t>
            </w:r>
            <w:r w:rsidR="00910FA3">
              <w:t xml:space="preserve">Basel Committee on Banking Supervision (Basel Committee), </w:t>
            </w:r>
            <w:r>
              <w:t>Financial Stability Board</w:t>
            </w:r>
            <w:r w:rsidR="00910FA3">
              <w:t xml:space="preserve"> (FSB)</w:t>
            </w:r>
            <w:r>
              <w:t xml:space="preserve">, </w:t>
            </w:r>
            <w:r w:rsidR="00910FA3">
              <w:t xml:space="preserve">and </w:t>
            </w:r>
            <w:r>
              <w:t>International Monetary Fund</w:t>
            </w:r>
            <w:r w:rsidR="00910FA3">
              <w:t xml:space="preserve"> (IMF).</w:t>
            </w:r>
          </w:p>
          <w:p w:rsidR="00910FA3" w:rsidRDefault="00910FA3" w:rsidP="00C550F2">
            <w:pPr>
              <w:spacing w:after="120" w:line="240" w:lineRule="auto"/>
            </w:pPr>
            <w:r>
              <w:t xml:space="preserve">Met periodically with officials from the Basel Committee, FSB, and IMF </w:t>
            </w:r>
            <w:r w:rsidR="00D431B1">
              <w:t xml:space="preserve">over the past 2 years </w:t>
            </w:r>
            <w:r>
              <w:t>to discuss the Working Group and INTOSAI and had officials from these organizations deliver presentations at the Working Group’s annual meetings</w:t>
            </w:r>
          </w:p>
          <w:p w:rsidR="00937EB2" w:rsidRDefault="0063231B" w:rsidP="00C550F2">
            <w:pPr>
              <w:spacing w:after="120" w:line="240" w:lineRule="auto"/>
            </w:pPr>
            <w:r>
              <w:t>Action items / key next steps:</w:t>
            </w:r>
          </w:p>
          <w:p w:rsidR="00910FA3" w:rsidRDefault="00910FA3" w:rsidP="00C550F2">
            <w:pPr>
              <w:spacing w:after="120" w:line="240" w:lineRule="auto"/>
            </w:pPr>
            <w:r>
              <w:t xml:space="preserve">Continue to strengthen working relationships with the Basel Committee, FSB, and IMF, in part by </w:t>
            </w:r>
            <w:r w:rsidR="00D431B1">
              <w:t xml:space="preserve">holding more frequent </w:t>
            </w:r>
            <w:r>
              <w:t xml:space="preserve">meetings </w:t>
            </w:r>
            <w:r w:rsidR="00D431B1">
              <w:t xml:space="preserve">with them </w:t>
            </w:r>
            <w:r>
              <w:t xml:space="preserve">and </w:t>
            </w:r>
            <w:r w:rsidR="00D431B1">
              <w:t>implementing mechanisms to share</w:t>
            </w:r>
            <w:r>
              <w:t xml:space="preserve"> relevant SAI audits and other information with them</w:t>
            </w:r>
            <w:r w:rsidR="00D431B1">
              <w:t xml:space="preserve"> on a timely basis</w:t>
            </w:r>
          </w:p>
          <w:p w:rsidR="00910FA3" w:rsidRPr="007326AB" w:rsidRDefault="00910FA3" w:rsidP="00C550F2">
            <w:pPr>
              <w:spacing w:after="120" w:line="240" w:lineRule="auto"/>
              <w:rPr>
                <w:rFonts w:asciiTheme="majorHAnsi" w:hAnsiTheme="majorHAnsi"/>
              </w:rPr>
            </w:pPr>
            <w:r>
              <w:t xml:space="preserve">Reach out to other international organizations to establish working relationships, such as the International Organization of Securities Commissions </w:t>
            </w:r>
          </w:p>
        </w:tc>
      </w:tr>
      <w:tr w:rsidR="00937EB2" w:rsidRPr="00AC6896" w:rsidTr="00876B17">
        <w:trPr>
          <w:trHeight w:val="4680"/>
        </w:trPr>
        <w:tc>
          <w:tcPr>
            <w:tcW w:w="2246" w:type="dxa"/>
            <w:vAlign w:val="center"/>
          </w:tcPr>
          <w:p w:rsidR="00937EB2" w:rsidRPr="00AC6896" w:rsidRDefault="00937EB2" w:rsidP="00C550F2">
            <w:pPr>
              <w:spacing w:after="120" w:line="240" w:lineRule="auto"/>
              <w:rPr>
                <w:rFonts w:asciiTheme="majorHAnsi" w:hAnsiTheme="majorHAnsi"/>
              </w:rPr>
            </w:pPr>
            <w:r>
              <w:rPr>
                <w:rFonts w:asciiTheme="majorHAnsi" w:hAnsiTheme="majorHAnsi" w:cs="Arial"/>
              </w:rPr>
              <w:lastRenderedPageBreak/>
              <w:t>D</w:t>
            </w:r>
            <w:r w:rsidRPr="00937EB2">
              <w:rPr>
                <w:rFonts w:asciiTheme="majorHAnsi" w:hAnsiTheme="majorHAnsi" w:cs="Arial"/>
              </w:rPr>
              <w:t>evelop a system to track and synthesize information on the nature, scope, and status of financial modernization and regulatory reforms at the national and international levels and identify gaps and areas where additional study by the Working Group is needed.</w:t>
            </w:r>
          </w:p>
        </w:tc>
        <w:tc>
          <w:tcPr>
            <w:tcW w:w="4021" w:type="dxa"/>
            <w:shd w:val="clear" w:color="auto" w:fill="auto"/>
            <w:vAlign w:val="center"/>
          </w:tcPr>
          <w:p w:rsidR="00937EB2" w:rsidRDefault="00792954" w:rsidP="00C550F2">
            <w:pPr>
              <w:autoSpaceDE w:val="0"/>
              <w:autoSpaceDN w:val="0"/>
              <w:adjustRightInd w:val="0"/>
              <w:spacing w:after="120" w:line="240" w:lineRule="auto"/>
              <w:rPr>
                <w:rFonts w:asciiTheme="majorHAnsi" w:hAnsiTheme="majorHAnsi"/>
              </w:rPr>
            </w:pPr>
            <w:r>
              <w:rPr>
                <w:rFonts w:asciiTheme="majorHAnsi" w:hAnsiTheme="majorHAnsi"/>
              </w:rPr>
              <w:t>Identify key sources of information on the G20’s financial regulatory reforms, including the areas covered by the reforms, international organizations responsible for implementing the reforms, and timeframes for implementing and evaluating the reforms</w:t>
            </w:r>
          </w:p>
          <w:p w:rsidR="009B0A34" w:rsidRDefault="009B0A34" w:rsidP="00C550F2">
            <w:pPr>
              <w:autoSpaceDE w:val="0"/>
              <w:autoSpaceDN w:val="0"/>
              <w:adjustRightInd w:val="0"/>
              <w:spacing w:after="120" w:line="240" w:lineRule="auto"/>
              <w:rPr>
                <w:rFonts w:asciiTheme="majorHAnsi" w:hAnsiTheme="majorHAnsi"/>
              </w:rPr>
            </w:pPr>
            <w:r>
              <w:rPr>
                <w:rFonts w:asciiTheme="majorHAnsi" w:hAnsiTheme="majorHAnsi"/>
              </w:rPr>
              <w:t>Identify international and national efforts or programs to monitor for emerging risk or early warning signs of financial instability at the global or national levels</w:t>
            </w:r>
          </w:p>
          <w:p w:rsidR="00792954" w:rsidRPr="007326AB" w:rsidRDefault="00792954" w:rsidP="00C550F2">
            <w:pPr>
              <w:autoSpaceDE w:val="0"/>
              <w:autoSpaceDN w:val="0"/>
              <w:adjustRightInd w:val="0"/>
              <w:spacing w:after="120" w:line="240" w:lineRule="auto"/>
              <w:rPr>
                <w:rFonts w:asciiTheme="majorHAnsi" w:hAnsiTheme="majorHAnsi"/>
              </w:rPr>
            </w:pPr>
            <w:r>
              <w:rPr>
                <w:rFonts w:asciiTheme="majorHAnsi" w:hAnsiTheme="majorHAnsi"/>
              </w:rPr>
              <w:t>Develop processes for collecting</w:t>
            </w:r>
            <w:r w:rsidR="009B0A34">
              <w:rPr>
                <w:rFonts w:asciiTheme="majorHAnsi" w:hAnsiTheme="majorHAnsi"/>
              </w:rPr>
              <w:t xml:space="preserve">, </w:t>
            </w:r>
            <w:r>
              <w:rPr>
                <w:rFonts w:asciiTheme="majorHAnsi" w:hAnsiTheme="majorHAnsi"/>
              </w:rPr>
              <w:t>analyzing</w:t>
            </w:r>
            <w:r w:rsidR="009B0A34">
              <w:rPr>
                <w:rFonts w:asciiTheme="majorHAnsi" w:hAnsiTheme="majorHAnsi"/>
              </w:rPr>
              <w:t>, and reporting</w:t>
            </w:r>
            <w:r>
              <w:rPr>
                <w:rFonts w:asciiTheme="majorHAnsi" w:hAnsiTheme="majorHAnsi"/>
              </w:rPr>
              <w:t xml:space="preserve"> information on the implementation of the G20’s financial reforms</w:t>
            </w:r>
            <w:r w:rsidR="009B0A34">
              <w:rPr>
                <w:rFonts w:asciiTheme="majorHAnsi" w:hAnsiTheme="majorHAnsi"/>
              </w:rPr>
              <w:t xml:space="preserve"> and emerging risks</w:t>
            </w:r>
          </w:p>
        </w:tc>
        <w:tc>
          <w:tcPr>
            <w:tcW w:w="2779" w:type="dxa"/>
            <w:shd w:val="clear" w:color="auto" w:fill="auto"/>
            <w:vAlign w:val="center"/>
          </w:tcPr>
          <w:p w:rsidR="00937EB2" w:rsidRPr="007326AB" w:rsidRDefault="00D83D35" w:rsidP="00D83D35">
            <w:pPr>
              <w:spacing w:after="120" w:line="240" w:lineRule="auto"/>
              <w:rPr>
                <w:rFonts w:asciiTheme="majorHAnsi" w:hAnsiTheme="majorHAnsi"/>
              </w:rPr>
            </w:pPr>
            <w:r>
              <w:rPr>
                <w:rFonts w:asciiTheme="majorHAnsi" w:hAnsiTheme="majorHAnsi"/>
              </w:rPr>
              <w:t>We</w:t>
            </w:r>
            <w:r w:rsidR="005D17DA">
              <w:rPr>
                <w:rFonts w:asciiTheme="majorHAnsi" w:hAnsiTheme="majorHAnsi"/>
              </w:rPr>
              <w:t xml:space="preserve"> could count the number of reports reviewed or meetings held</w:t>
            </w:r>
            <w:bookmarkStart w:id="0" w:name="_GoBack"/>
            <w:bookmarkEnd w:id="0"/>
          </w:p>
        </w:tc>
        <w:tc>
          <w:tcPr>
            <w:tcW w:w="5255" w:type="dxa"/>
            <w:shd w:val="clear" w:color="auto" w:fill="FFFFFF" w:themeFill="background1"/>
            <w:vAlign w:val="center"/>
          </w:tcPr>
          <w:p w:rsidR="0063231B" w:rsidRDefault="0063231B" w:rsidP="00C550F2">
            <w:pPr>
              <w:spacing w:after="120" w:line="240" w:lineRule="auto"/>
            </w:pPr>
            <w:r>
              <w:t>Progress to date</w:t>
            </w:r>
            <w:r w:rsidR="003179D2">
              <w:t>:</w:t>
            </w:r>
          </w:p>
          <w:p w:rsidR="0063231B" w:rsidRDefault="003179D2" w:rsidP="00C550F2">
            <w:pPr>
              <w:spacing w:after="120" w:line="240" w:lineRule="auto"/>
            </w:pPr>
            <w:r>
              <w:t xml:space="preserve">Reviewed </w:t>
            </w:r>
            <w:r w:rsidR="009B0A34">
              <w:t xml:space="preserve">periodically </w:t>
            </w:r>
            <w:r>
              <w:t xml:space="preserve">progress reports, peer reviews, and other documents issued by international organizations </w:t>
            </w:r>
            <w:r w:rsidR="00792954">
              <w:t>assessing the implementation status of the G20’s financial regulatory reforms, identifying implementation challenges, and evaluating the effects of the reforms</w:t>
            </w:r>
          </w:p>
          <w:p w:rsidR="00792954" w:rsidRDefault="00792954" w:rsidP="00C550F2">
            <w:pPr>
              <w:spacing w:after="120" w:line="240" w:lineRule="auto"/>
            </w:pPr>
            <w:r>
              <w:t xml:space="preserve">Reviewed </w:t>
            </w:r>
            <w:r w:rsidR="009B0A34">
              <w:t>periodically reports by international organizations (e.g., IMF) and national authorities (e.g., central banks) identifying and evaluating emerging risks or potential threats to financial stability</w:t>
            </w:r>
          </w:p>
          <w:p w:rsidR="005D17DA" w:rsidRDefault="005D17DA" w:rsidP="00C550F2">
            <w:pPr>
              <w:spacing w:after="120" w:line="240" w:lineRule="auto"/>
            </w:pPr>
            <w:r>
              <w:t>Discussed regulatory reforms and related issues periodically with officials from the Basel Committee, FSB, and IMF</w:t>
            </w:r>
          </w:p>
          <w:p w:rsidR="00792954" w:rsidRDefault="009B0A34" w:rsidP="00C550F2">
            <w:pPr>
              <w:spacing w:after="120" w:line="240" w:lineRule="auto"/>
            </w:pPr>
            <w:r>
              <w:t xml:space="preserve">Delivered </w:t>
            </w:r>
            <w:r w:rsidR="00E5195F">
              <w:t>an annual</w:t>
            </w:r>
            <w:r w:rsidR="00792954">
              <w:t xml:space="preserve"> report</w:t>
            </w:r>
            <w:r w:rsidR="00E5195F">
              <w:t xml:space="preserve"> for the past 4 years</w:t>
            </w:r>
            <w:r w:rsidR="00792954">
              <w:t xml:space="preserve"> to the INTOSAI Governing Board that summarized</w:t>
            </w:r>
            <w:r>
              <w:t>, among other things, the</w:t>
            </w:r>
            <w:r w:rsidR="00792954">
              <w:t xml:space="preserve"> implementation status of the G20’s financial regulatory reforms at the national level and emerging risks</w:t>
            </w:r>
          </w:p>
          <w:p w:rsidR="00937EB2" w:rsidRDefault="0063231B" w:rsidP="00C550F2">
            <w:pPr>
              <w:spacing w:after="120" w:line="240" w:lineRule="auto"/>
            </w:pPr>
            <w:r>
              <w:t>Action items / key next steps:</w:t>
            </w:r>
          </w:p>
          <w:p w:rsidR="00792954" w:rsidRDefault="009B0A34" w:rsidP="00C550F2">
            <w:pPr>
              <w:spacing w:after="120" w:line="240" w:lineRule="auto"/>
              <w:rPr>
                <w:rFonts w:asciiTheme="majorHAnsi" w:hAnsiTheme="majorHAnsi"/>
              </w:rPr>
            </w:pPr>
            <w:r>
              <w:rPr>
                <w:rFonts w:asciiTheme="majorHAnsi" w:hAnsiTheme="majorHAnsi"/>
              </w:rPr>
              <w:t xml:space="preserve">Continue to review relevant information on the G20’s financial reforms and emerging risk and summarize such information in </w:t>
            </w:r>
            <w:r w:rsidR="00D431B1">
              <w:rPr>
                <w:rFonts w:asciiTheme="majorHAnsi" w:hAnsiTheme="majorHAnsi"/>
              </w:rPr>
              <w:t xml:space="preserve">the Working Group’s </w:t>
            </w:r>
            <w:r>
              <w:rPr>
                <w:rFonts w:asciiTheme="majorHAnsi" w:hAnsiTheme="majorHAnsi"/>
              </w:rPr>
              <w:t xml:space="preserve">annual report </w:t>
            </w:r>
          </w:p>
          <w:p w:rsidR="00792954" w:rsidRPr="007326AB" w:rsidRDefault="00D431B1" w:rsidP="00C550F2">
            <w:pPr>
              <w:spacing w:after="120" w:line="240" w:lineRule="auto"/>
              <w:rPr>
                <w:rFonts w:asciiTheme="majorHAnsi" w:hAnsiTheme="majorHAnsi"/>
              </w:rPr>
            </w:pPr>
            <w:r>
              <w:rPr>
                <w:rFonts w:asciiTheme="majorHAnsi" w:hAnsiTheme="majorHAnsi"/>
              </w:rPr>
              <w:t xml:space="preserve">Update terms of work by developing new </w:t>
            </w:r>
            <w:r w:rsidR="00792954">
              <w:rPr>
                <w:rFonts w:asciiTheme="majorHAnsi" w:hAnsiTheme="majorHAnsi"/>
              </w:rPr>
              <w:t>work streams</w:t>
            </w:r>
            <w:r w:rsidR="009B0A34">
              <w:rPr>
                <w:rFonts w:asciiTheme="majorHAnsi" w:hAnsiTheme="majorHAnsi"/>
              </w:rPr>
              <w:t xml:space="preserve"> in 2018 to further achieve </w:t>
            </w:r>
            <w:r>
              <w:rPr>
                <w:rFonts w:asciiTheme="majorHAnsi" w:hAnsiTheme="majorHAnsi"/>
              </w:rPr>
              <w:t xml:space="preserve">this strategic </w:t>
            </w:r>
            <w:r w:rsidR="00612B50">
              <w:rPr>
                <w:rFonts w:asciiTheme="majorHAnsi" w:hAnsiTheme="majorHAnsi"/>
              </w:rPr>
              <w:t>objective</w:t>
            </w:r>
          </w:p>
        </w:tc>
      </w:tr>
    </w:tbl>
    <w:p w:rsidR="009F715C" w:rsidRPr="00AC6896" w:rsidRDefault="009F715C">
      <w:pPr>
        <w:rPr>
          <w:rFonts w:asciiTheme="majorHAnsi" w:eastAsia="Times New Roman" w:hAnsiTheme="majorHAnsi" w:cs="Times New Roman"/>
          <w:sz w:val="20"/>
          <w:szCs w:val="20"/>
          <w:lang w:val="en-US"/>
        </w:rPr>
      </w:pPr>
    </w:p>
    <w:sectPr w:rsidR="009F715C" w:rsidRPr="00AC6896" w:rsidSect="002438F6">
      <w:footerReference w:type="default" r:id="rId9"/>
      <w:pgSz w:w="16838" w:h="11906" w:orient="landscape"/>
      <w:pgMar w:top="1021" w:right="1440" w:bottom="90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4A" w:rsidRDefault="00C2454A" w:rsidP="00130036">
      <w:pPr>
        <w:spacing w:after="0" w:line="240" w:lineRule="auto"/>
      </w:pPr>
      <w:r>
        <w:separator/>
      </w:r>
    </w:p>
  </w:endnote>
  <w:endnote w:type="continuationSeparator" w:id="0">
    <w:p w:rsidR="00C2454A" w:rsidRDefault="00C2454A" w:rsidP="0013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004269"/>
      <w:docPartObj>
        <w:docPartGallery w:val="Page Numbers (Bottom of Page)"/>
        <w:docPartUnique/>
      </w:docPartObj>
    </w:sdtPr>
    <w:sdtEndPr>
      <w:rPr>
        <w:noProof/>
      </w:rPr>
    </w:sdtEndPr>
    <w:sdtContent>
      <w:p w:rsidR="00130036" w:rsidRDefault="00130036">
        <w:pPr>
          <w:pStyle w:val="Footer"/>
          <w:jc w:val="center"/>
        </w:pPr>
        <w:r>
          <w:fldChar w:fldCharType="begin"/>
        </w:r>
        <w:r>
          <w:instrText xml:space="preserve"> PAGE   \* MERGEFORMAT </w:instrText>
        </w:r>
        <w:r>
          <w:fldChar w:fldCharType="separate"/>
        </w:r>
        <w:r w:rsidR="00D83D35">
          <w:rPr>
            <w:noProof/>
          </w:rPr>
          <w:t>3</w:t>
        </w:r>
        <w:r>
          <w:rPr>
            <w:noProof/>
          </w:rPr>
          <w:fldChar w:fldCharType="end"/>
        </w:r>
      </w:p>
    </w:sdtContent>
  </w:sdt>
  <w:p w:rsidR="00130036" w:rsidRDefault="00130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4A" w:rsidRDefault="00C2454A" w:rsidP="00130036">
      <w:pPr>
        <w:spacing w:after="0" w:line="240" w:lineRule="auto"/>
      </w:pPr>
      <w:r>
        <w:separator/>
      </w:r>
    </w:p>
  </w:footnote>
  <w:footnote w:type="continuationSeparator" w:id="0">
    <w:p w:rsidR="00C2454A" w:rsidRDefault="00C2454A" w:rsidP="00130036">
      <w:pPr>
        <w:spacing w:after="0" w:line="240" w:lineRule="auto"/>
      </w:pPr>
      <w:r>
        <w:continuationSeparator/>
      </w:r>
    </w:p>
  </w:footnote>
  <w:footnote w:id="1">
    <w:p w:rsidR="00711677" w:rsidRPr="003A55C8" w:rsidRDefault="00711677" w:rsidP="00FF5E3A">
      <w:pPr>
        <w:pStyle w:val="FootnoteText"/>
        <w:spacing w:after="60"/>
        <w:ind w:left="284" w:hanging="284"/>
        <w:rPr>
          <w:sz w:val="16"/>
          <w:szCs w:val="16"/>
        </w:rPr>
      </w:pPr>
      <w:r w:rsidRPr="003A55C8">
        <w:rPr>
          <w:rStyle w:val="FootnoteReference"/>
          <w:sz w:val="16"/>
          <w:szCs w:val="16"/>
        </w:rPr>
        <w:footnoteRef/>
      </w:r>
      <w:r w:rsidRPr="003A55C8">
        <w:rPr>
          <w:sz w:val="16"/>
          <w:szCs w:val="16"/>
        </w:rPr>
        <w:t xml:space="preserve">    In the case of single large projects / initiatives, the progress indicator could also be one of the following three progress statements: </w:t>
      </w:r>
      <w:r w:rsidRPr="003A55C8">
        <w:rPr>
          <w:sz w:val="16"/>
          <w:szCs w:val="16"/>
          <w:vertAlign w:val="superscript"/>
        </w:rPr>
        <w:t>(i)</w:t>
      </w:r>
      <w:r w:rsidRPr="003A55C8">
        <w:rPr>
          <w:sz w:val="16"/>
          <w:szCs w:val="16"/>
        </w:rPr>
        <w:t xml:space="preserve"> the project has been initiated/come into existence (has been defined, planned , and resourced),  </w:t>
      </w:r>
      <w:r w:rsidRPr="003A55C8">
        <w:rPr>
          <w:sz w:val="16"/>
          <w:szCs w:val="16"/>
          <w:vertAlign w:val="superscript"/>
        </w:rPr>
        <w:t>(ii)</w:t>
      </w:r>
      <w:r w:rsidRPr="003A55C8">
        <w:rPr>
          <w:sz w:val="16"/>
          <w:szCs w:val="16"/>
        </w:rPr>
        <w:t xml:space="preserve"> the project is being implemented (and is on track, or behind schedule, in trouble – green or amber or red</w:t>
      </w:r>
      <w:r w:rsidR="00A75398">
        <w:rPr>
          <w:sz w:val="16"/>
          <w:szCs w:val="16"/>
        </w:rPr>
        <w:t>/Purple</w:t>
      </w:r>
      <w:r w:rsidRPr="003A55C8">
        <w:rPr>
          <w:sz w:val="16"/>
          <w:szCs w:val="16"/>
        </w:rPr>
        <w:t xml:space="preserve">), and </w:t>
      </w:r>
      <w:r w:rsidRPr="003A55C8">
        <w:rPr>
          <w:sz w:val="16"/>
          <w:szCs w:val="16"/>
          <w:vertAlign w:val="superscript"/>
        </w:rPr>
        <w:t xml:space="preserve">(iii) </w:t>
      </w:r>
      <w:r w:rsidRPr="003A55C8">
        <w:rPr>
          <w:sz w:val="16"/>
          <w:szCs w:val="16"/>
        </w:rPr>
        <w:t xml:space="preserve">the project has delivered the main outcome (is either completed – black – or its outcome is functioning as intended / producing the results, e.g. a technical support function;  maintain, monitor and enhance). </w:t>
      </w:r>
      <w:r w:rsidR="00A75398">
        <w:rPr>
          <w:sz w:val="16"/>
          <w:szCs w:val="16"/>
        </w:rPr>
        <w:t>Appropriate colour may be chosen as the background of the cell.</w:t>
      </w:r>
    </w:p>
  </w:footnote>
  <w:footnote w:id="2">
    <w:p w:rsidR="00711677" w:rsidRDefault="00711677" w:rsidP="00FF5E3A">
      <w:pPr>
        <w:pStyle w:val="FootnoteText"/>
        <w:ind w:left="284" w:hanging="284"/>
        <w:rPr>
          <w:sz w:val="16"/>
          <w:szCs w:val="16"/>
        </w:rPr>
      </w:pPr>
      <w:r w:rsidRPr="003A55C8">
        <w:rPr>
          <w:rStyle w:val="FootnoteReference"/>
          <w:sz w:val="16"/>
          <w:szCs w:val="16"/>
        </w:rPr>
        <w:footnoteRef/>
      </w:r>
      <w:r w:rsidRPr="003A55C8">
        <w:rPr>
          <w:sz w:val="16"/>
          <w:szCs w:val="16"/>
        </w:rPr>
        <w:t xml:space="preserve">    SP 2017-22, page 36, refers to the strategic objectives review to include “determining what actions and next steps are most needed to ensure continued progress towards each objective”.  </w:t>
      </w:r>
      <w:r>
        <w:rPr>
          <w:sz w:val="16"/>
          <w:szCs w:val="16"/>
        </w:rPr>
        <w:t>T</w:t>
      </w:r>
      <w:r w:rsidRPr="00711677">
        <w:rPr>
          <w:sz w:val="16"/>
          <w:szCs w:val="16"/>
        </w:rPr>
        <w:t>he progress achieved till date and the key items/next steps needed to ensure continued progress towards each objective and to manage risks may be indicated here.</w:t>
      </w:r>
    </w:p>
    <w:p w:rsidR="00A75398" w:rsidRPr="003A55C8" w:rsidRDefault="00A75398" w:rsidP="00FF5E3A">
      <w:pPr>
        <w:pStyle w:val="FootnoteText"/>
        <w:ind w:left="284" w:hanging="284"/>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7BEC"/>
    <w:multiLevelType w:val="hybridMultilevel"/>
    <w:tmpl w:val="A3580950"/>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1">
    <w:nsid w:val="19C67D9D"/>
    <w:multiLevelType w:val="hybridMultilevel"/>
    <w:tmpl w:val="959AA88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1A6F5299"/>
    <w:multiLevelType w:val="hybridMultilevel"/>
    <w:tmpl w:val="B6BAAE42"/>
    <w:lvl w:ilvl="0" w:tplc="B7C457F4">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nsid w:val="1BA370EC"/>
    <w:multiLevelType w:val="hybridMultilevel"/>
    <w:tmpl w:val="C512D3F4"/>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F222417"/>
    <w:multiLevelType w:val="hybridMultilevel"/>
    <w:tmpl w:val="86FCF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F45B4"/>
    <w:multiLevelType w:val="hybridMultilevel"/>
    <w:tmpl w:val="7D9A01C0"/>
    <w:lvl w:ilvl="0" w:tplc="1C09001B">
      <w:start w:val="1"/>
      <w:numFmt w:val="lowerRoman"/>
      <w:lvlText w:val="%1."/>
      <w:lvlJc w:val="right"/>
      <w:pPr>
        <w:ind w:left="612" w:hanging="360"/>
      </w:pPr>
    </w:lvl>
    <w:lvl w:ilvl="1" w:tplc="1C090019" w:tentative="1">
      <w:start w:val="1"/>
      <w:numFmt w:val="lowerLetter"/>
      <w:lvlText w:val="%2."/>
      <w:lvlJc w:val="left"/>
      <w:pPr>
        <w:ind w:left="1332" w:hanging="360"/>
      </w:pPr>
    </w:lvl>
    <w:lvl w:ilvl="2" w:tplc="1C09001B" w:tentative="1">
      <w:start w:val="1"/>
      <w:numFmt w:val="lowerRoman"/>
      <w:lvlText w:val="%3."/>
      <w:lvlJc w:val="right"/>
      <w:pPr>
        <w:ind w:left="2052" w:hanging="180"/>
      </w:pPr>
    </w:lvl>
    <w:lvl w:ilvl="3" w:tplc="1C09000F" w:tentative="1">
      <w:start w:val="1"/>
      <w:numFmt w:val="decimal"/>
      <w:lvlText w:val="%4."/>
      <w:lvlJc w:val="left"/>
      <w:pPr>
        <w:ind w:left="2772" w:hanging="360"/>
      </w:pPr>
    </w:lvl>
    <w:lvl w:ilvl="4" w:tplc="1C090019" w:tentative="1">
      <w:start w:val="1"/>
      <w:numFmt w:val="lowerLetter"/>
      <w:lvlText w:val="%5."/>
      <w:lvlJc w:val="left"/>
      <w:pPr>
        <w:ind w:left="3492" w:hanging="360"/>
      </w:pPr>
    </w:lvl>
    <w:lvl w:ilvl="5" w:tplc="1C09001B" w:tentative="1">
      <w:start w:val="1"/>
      <w:numFmt w:val="lowerRoman"/>
      <w:lvlText w:val="%6."/>
      <w:lvlJc w:val="right"/>
      <w:pPr>
        <w:ind w:left="4212" w:hanging="180"/>
      </w:pPr>
    </w:lvl>
    <w:lvl w:ilvl="6" w:tplc="1C09000F" w:tentative="1">
      <w:start w:val="1"/>
      <w:numFmt w:val="decimal"/>
      <w:lvlText w:val="%7."/>
      <w:lvlJc w:val="left"/>
      <w:pPr>
        <w:ind w:left="4932" w:hanging="360"/>
      </w:pPr>
    </w:lvl>
    <w:lvl w:ilvl="7" w:tplc="1C090019" w:tentative="1">
      <w:start w:val="1"/>
      <w:numFmt w:val="lowerLetter"/>
      <w:lvlText w:val="%8."/>
      <w:lvlJc w:val="left"/>
      <w:pPr>
        <w:ind w:left="5652" w:hanging="360"/>
      </w:pPr>
    </w:lvl>
    <w:lvl w:ilvl="8" w:tplc="1C09001B" w:tentative="1">
      <w:start w:val="1"/>
      <w:numFmt w:val="lowerRoman"/>
      <w:lvlText w:val="%9."/>
      <w:lvlJc w:val="right"/>
      <w:pPr>
        <w:ind w:left="6372" w:hanging="180"/>
      </w:pPr>
    </w:lvl>
  </w:abstractNum>
  <w:abstractNum w:abstractNumId="6">
    <w:nsid w:val="260430A6"/>
    <w:multiLevelType w:val="hybridMultilevel"/>
    <w:tmpl w:val="230E3346"/>
    <w:lvl w:ilvl="0" w:tplc="1C090005">
      <w:start w:val="1"/>
      <w:numFmt w:val="bullet"/>
      <w:lvlText w:val=""/>
      <w:lvlJc w:val="left"/>
      <w:pPr>
        <w:ind w:left="1080" w:hanging="360"/>
      </w:pPr>
      <w:rPr>
        <w:rFonts w:ascii="Wingdings" w:hAnsi="Wingding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nsid w:val="37A72E12"/>
    <w:multiLevelType w:val="hybridMultilevel"/>
    <w:tmpl w:val="AD7E5362"/>
    <w:lvl w:ilvl="0" w:tplc="1C09001B">
      <w:start w:val="1"/>
      <w:numFmt w:val="lowerRoman"/>
      <w:lvlText w:val="%1."/>
      <w:lvlJc w:val="right"/>
      <w:pPr>
        <w:ind w:left="754" w:hanging="720"/>
      </w:pPr>
      <w:rPr>
        <w:rFonts w:hint="default"/>
      </w:rPr>
    </w:lvl>
    <w:lvl w:ilvl="1" w:tplc="1C090019" w:tentative="1">
      <w:start w:val="1"/>
      <w:numFmt w:val="lowerLetter"/>
      <w:lvlText w:val="%2."/>
      <w:lvlJc w:val="left"/>
      <w:pPr>
        <w:ind w:left="1114" w:hanging="360"/>
      </w:pPr>
    </w:lvl>
    <w:lvl w:ilvl="2" w:tplc="1C09001B" w:tentative="1">
      <w:start w:val="1"/>
      <w:numFmt w:val="lowerRoman"/>
      <w:lvlText w:val="%3."/>
      <w:lvlJc w:val="right"/>
      <w:pPr>
        <w:ind w:left="1834" w:hanging="180"/>
      </w:pPr>
    </w:lvl>
    <w:lvl w:ilvl="3" w:tplc="1C09000F" w:tentative="1">
      <w:start w:val="1"/>
      <w:numFmt w:val="decimal"/>
      <w:lvlText w:val="%4."/>
      <w:lvlJc w:val="left"/>
      <w:pPr>
        <w:ind w:left="2554" w:hanging="360"/>
      </w:pPr>
    </w:lvl>
    <w:lvl w:ilvl="4" w:tplc="1C090019" w:tentative="1">
      <w:start w:val="1"/>
      <w:numFmt w:val="lowerLetter"/>
      <w:lvlText w:val="%5."/>
      <w:lvlJc w:val="left"/>
      <w:pPr>
        <w:ind w:left="3274" w:hanging="360"/>
      </w:pPr>
    </w:lvl>
    <w:lvl w:ilvl="5" w:tplc="1C09001B" w:tentative="1">
      <w:start w:val="1"/>
      <w:numFmt w:val="lowerRoman"/>
      <w:lvlText w:val="%6."/>
      <w:lvlJc w:val="right"/>
      <w:pPr>
        <w:ind w:left="3994" w:hanging="180"/>
      </w:pPr>
    </w:lvl>
    <w:lvl w:ilvl="6" w:tplc="1C09000F" w:tentative="1">
      <w:start w:val="1"/>
      <w:numFmt w:val="decimal"/>
      <w:lvlText w:val="%7."/>
      <w:lvlJc w:val="left"/>
      <w:pPr>
        <w:ind w:left="4714" w:hanging="360"/>
      </w:pPr>
    </w:lvl>
    <w:lvl w:ilvl="7" w:tplc="1C090019" w:tentative="1">
      <w:start w:val="1"/>
      <w:numFmt w:val="lowerLetter"/>
      <w:lvlText w:val="%8."/>
      <w:lvlJc w:val="left"/>
      <w:pPr>
        <w:ind w:left="5434" w:hanging="360"/>
      </w:pPr>
    </w:lvl>
    <w:lvl w:ilvl="8" w:tplc="1C09001B" w:tentative="1">
      <w:start w:val="1"/>
      <w:numFmt w:val="lowerRoman"/>
      <w:lvlText w:val="%9."/>
      <w:lvlJc w:val="right"/>
      <w:pPr>
        <w:ind w:left="6154" w:hanging="180"/>
      </w:pPr>
    </w:lvl>
  </w:abstractNum>
  <w:abstractNum w:abstractNumId="8">
    <w:nsid w:val="3ABB5184"/>
    <w:multiLevelType w:val="hybridMultilevel"/>
    <w:tmpl w:val="1BAE57B4"/>
    <w:lvl w:ilvl="0" w:tplc="1C090017">
      <w:start w:val="1"/>
      <w:numFmt w:val="lowerLetter"/>
      <w:lvlText w:val="%1)"/>
      <w:lvlJc w:val="left"/>
      <w:pPr>
        <w:ind w:left="720" w:hanging="360"/>
      </w:pPr>
      <w:rPr>
        <w:rFonts w:hint="default"/>
      </w:rPr>
    </w:lvl>
    <w:lvl w:ilvl="1" w:tplc="AAB6BD92">
      <w:start w:val="1"/>
      <w:numFmt w:val="decimal"/>
      <w:lvlText w:val="%2."/>
      <w:lvlJc w:val="left"/>
      <w:pPr>
        <w:ind w:left="1480" w:hanging="40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E2B4443"/>
    <w:multiLevelType w:val="hybridMultilevel"/>
    <w:tmpl w:val="896C90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4A4E4723"/>
    <w:multiLevelType w:val="hybridMultilevel"/>
    <w:tmpl w:val="AEF2E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CC21A6"/>
    <w:multiLevelType w:val="hybridMultilevel"/>
    <w:tmpl w:val="8FAC311E"/>
    <w:lvl w:ilvl="0" w:tplc="1C090005">
      <w:start w:val="1"/>
      <w:numFmt w:val="bullet"/>
      <w:lvlText w:val=""/>
      <w:lvlJc w:val="left"/>
      <w:pPr>
        <w:ind w:left="819" w:hanging="360"/>
      </w:pPr>
      <w:rPr>
        <w:rFonts w:ascii="Wingdings" w:hAnsi="Wingdings"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12">
    <w:nsid w:val="4FC27C4C"/>
    <w:multiLevelType w:val="hybridMultilevel"/>
    <w:tmpl w:val="A3C09732"/>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13">
    <w:nsid w:val="5C020740"/>
    <w:multiLevelType w:val="hybridMultilevel"/>
    <w:tmpl w:val="9500A9D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nsid w:val="62F77367"/>
    <w:multiLevelType w:val="hybridMultilevel"/>
    <w:tmpl w:val="954877A0"/>
    <w:lvl w:ilvl="0" w:tplc="1C09001B">
      <w:start w:val="1"/>
      <w:numFmt w:val="lowerRoman"/>
      <w:lvlText w:val="%1."/>
      <w:lvlJc w:val="right"/>
      <w:pPr>
        <w:ind w:left="720" w:hanging="360"/>
      </w:pPr>
      <w:rPr>
        <w:rFonts w:hint="default"/>
      </w:rPr>
    </w:lvl>
    <w:lvl w:ilvl="1" w:tplc="AAB6BD92">
      <w:start w:val="1"/>
      <w:numFmt w:val="decimal"/>
      <w:lvlText w:val="%2."/>
      <w:lvlJc w:val="left"/>
      <w:pPr>
        <w:ind w:left="1480" w:hanging="40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66EC375D"/>
    <w:multiLevelType w:val="hybridMultilevel"/>
    <w:tmpl w:val="C61E14AA"/>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6B974EE0"/>
    <w:multiLevelType w:val="hybridMultilevel"/>
    <w:tmpl w:val="3B68872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6FD63C78"/>
    <w:multiLevelType w:val="hybridMultilevel"/>
    <w:tmpl w:val="30AA37D4"/>
    <w:lvl w:ilvl="0" w:tplc="1C090005">
      <w:start w:val="1"/>
      <w:numFmt w:val="bullet"/>
      <w:lvlText w:val=""/>
      <w:lvlJc w:val="left"/>
      <w:pPr>
        <w:ind w:left="819" w:hanging="360"/>
      </w:pPr>
      <w:rPr>
        <w:rFonts w:ascii="Wingdings" w:hAnsi="Wingdings"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18">
    <w:nsid w:val="716D2607"/>
    <w:multiLevelType w:val="hybridMultilevel"/>
    <w:tmpl w:val="32A8E4B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7B135348"/>
    <w:multiLevelType w:val="hybridMultilevel"/>
    <w:tmpl w:val="B72E074C"/>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20">
    <w:nsid w:val="7BE975E1"/>
    <w:multiLevelType w:val="hybridMultilevel"/>
    <w:tmpl w:val="B72E074C"/>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num w:numId="1">
    <w:abstractNumId w:val="3"/>
  </w:num>
  <w:num w:numId="2">
    <w:abstractNumId w:val="11"/>
  </w:num>
  <w:num w:numId="3">
    <w:abstractNumId w:val="18"/>
  </w:num>
  <w:num w:numId="4">
    <w:abstractNumId w:val="13"/>
  </w:num>
  <w:num w:numId="5">
    <w:abstractNumId w:val="15"/>
  </w:num>
  <w:num w:numId="6">
    <w:abstractNumId w:val="2"/>
  </w:num>
  <w:num w:numId="7">
    <w:abstractNumId w:val="0"/>
  </w:num>
  <w:num w:numId="8">
    <w:abstractNumId w:val="20"/>
  </w:num>
  <w:num w:numId="9">
    <w:abstractNumId w:val="19"/>
  </w:num>
  <w:num w:numId="10">
    <w:abstractNumId w:val="14"/>
  </w:num>
  <w:num w:numId="11">
    <w:abstractNumId w:val="12"/>
  </w:num>
  <w:num w:numId="12">
    <w:abstractNumId w:val="1"/>
  </w:num>
  <w:num w:numId="13">
    <w:abstractNumId w:val="9"/>
  </w:num>
  <w:num w:numId="14">
    <w:abstractNumId w:val="7"/>
  </w:num>
  <w:num w:numId="15">
    <w:abstractNumId w:val="5"/>
  </w:num>
  <w:num w:numId="16">
    <w:abstractNumId w:val="8"/>
  </w:num>
  <w:num w:numId="17">
    <w:abstractNumId w:val="16"/>
  </w:num>
  <w:num w:numId="18">
    <w:abstractNumId w:val="17"/>
  </w:num>
  <w:num w:numId="19">
    <w:abstractNumId w:val="6"/>
  </w:num>
  <w:num w:numId="20">
    <w:abstractNumId w:val="10"/>
  </w:num>
  <w:num w:numId="2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1D"/>
    <w:rsid w:val="00006A45"/>
    <w:rsid w:val="0003491F"/>
    <w:rsid w:val="000506EB"/>
    <w:rsid w:val="00065F77"/>
    <w:rsid w:val="000808AF"/>
    <w:rsid w:val="000A0CF7"/>
    <w:rsid w:val="000C580B"/>
    <w:rsid w:val="000E0F6E"/>
    <w:rsid w:val="001246DB"/>
    <w:rsid w:val="00130036"/>
    <w:rsid w:val="00145F98"/>
    <w:rsid w:val="00146A0C"/>
    <w:rsid w:val="0015101D"/>
    <w:rsid w:val="00170E74"/>
    <w:rsid w:val="00185E9E"/>
    <w:rsid w:val="001A43F7"/>
    <w:rsid w:val="001A5B92"/>
    <w:rsid w:val="001E35C3"/>
    <w:rsid w:val="001F3ED5"/>
    <w:rsid w:val="001F41FA"/>
    <w:rsid w:val="00203986"/>
    <w:rsid w:val="002328CF"/>
    <w:rsid w:val="00233229"/>
    <w:rsid w:val="002438F6"/>
    <w:rsid w:val="002476A0"/>
    <w:rsid w:val="002818DC"/>
    <w:rsid w:val="00286F0D"/>
    <w:rsid w:val="002B1B91"/>
    <w:rsid w:val="002E22F9"/>
    <w:rsid w:val="003179D2"/>
    <w:rsid w:val="00324F71"/>
    <w:rsid w:val="003445F8"/>
    <w:rsid w:val="00354D00"/>
    <w:rsid w:val="00396FB5"/>
    <w:rsid w:val="003A146B"/>
    <w:rsid w:val="003A55C8"/>
    <w:rsid w:val="003C0ADB"/>
    <w:rsid w:val="003D6FA1"/>
    <w:rsid w:val="003F1D52"/>
    <w:rsid w:val="003F1F75"/>
    <w:rsid w:val="00417BD9"/>
    <w:rsid w:val="00427EBE"/>
    <w:rsid w:val="00437483"/>
    <w:rsid w:val="00437AA8"/>
    <w:rsid w:val="00445198"/>
    <w:rsid w:val="00450604"/>
    <w:rsid w:val="00460159"/>
    <w:rsid w:val="004609E4"/>
    <w:rsid w:val="004715C1"/>
    <w:rsid w:val="004B67E0"/>
    <w:rsid w:val="004D2A9C"/>
    <w:rsid w:val="004D4F14"/>
    <w:rsid w:val="004F162D"/>
    <w:rsid w:val="004F1707"/>
    <w:rsid w:val="004F3993"/>
    <w:rsid w:val="00513119"/>
    <w:rsid w:val="00513933"/>
    <w:rsid w:val="00550565"/>
    <w:rsid w:val="005613FC"/>
    <w:rsid w:val="00570B9D"/>
    <w:rsid w:val="005C33D9"/>
    <w:rsid w:val="005C692F"/>
    <w:rsid w:val="005D17DA"/>
    <w:rsid w:val="005D31D2"/>
    <w:rsid w:val="005D3D0B"/>
    <w:rsid w:val="00612B50"/>
    <w:rsid w:val="00614E84"/>
    <w:rsid w:val="0063231B"/>
    <w:rsid w:val="006343ED"/>
    <w:rsid w:val="0064057E"/>
    <w:rsid w:val="00661595"/>
    <w:rsid w:val="0066664A"/>
    <w:rsid w:val="00673467"/>
    <w:rsid w:val="00680BB7"/>
    <w:rsid w:val="006A31FF"/>
    <w:rsid w:val="006B2AE0"/>
    <w:rsid w:val="006D331D"/>
    <w:rsid w:val="006D3BDB"/>
    <w:rsid w:val="006D70F9"/>
    <w:rsid w:val="006E0FD1"/>
    <w:rsid w:val="006E4AD9"/>
    <w:rsid w:val="006E7AB5"/>
    <w:rsid w:val="0070462C"/>
    <w:rsid w:val="00711677"/>
    <w:rsid w:val="007257D0"/>
    <w:rsid w:val="007326AB"/>
    <w:rsid w:val="00744E7F"/>
    <w:rsid w:val="00745BEC"/>
    <w:rsid w:val="00792954"/>
    <w:rsid w:val="00793D67"/>
    <w:rsid w:val="007B5200"/>
    <w:rsid w:val="007C67E1"/>
    <w:rsid w:val="00806E24"/>
    <w:rsid w:val="0081153C"/>
    <w:rsid w:val="00831F54"/>
    <w:rsid w:val="00846762"/>
    <w:rsid w:val="00850A3D"/>
    <w:rsid w:val="00886814"/>
    <w:rsid w:val="008C77CB"/>
    <w:rsid w:val="008E4870"/>
    <w:rsid w:val="008E7ADE"/>
    <w:rsid w:val="00910FA3"/>
    <w:rsid w:val="00937EB2"/>
    <w:rsid w:val="00945DAD"/>
    <w:rsid w:val="009600C4"/>
    <w:rsid w:val="00973337"/>
    <w:rsid w:val="00984643"/>
    <w:rsid w:val="009B0A34"/>
    <w:rsid w:val="009B2F8C"/>
    <w:rsid w:val="009D0C31"/>
    <w:rsid w:val="009D454F"/>
    <w:rsid w:val="009F0EB8"/>
    <w:rsid w:val="009F715C"/>
    <w:rsid w:val="00A42943"/>
    <w:rsid w:val="00A434F3"/>
    <w:rsid w:val="00A44238"/>
    <w:rsid w:val="00A54131"/>
    <w:rsid w:val="00A75398"/>
    <w:rsid w:val="00AB26CD"/>
    <w:rsid w:val="00AC2C18"/>
    <w:rsid w:val="00AC2DEE"/>
    <w:rsid w:val="00AC6896"/>
    <w:rsid w:val="00AF42A4"/>
    <w:rsid w:val="00B15021"/>
    <w:rsid w:val="00B163B9"/>
    <w:rsid w:val="00B36A79"/>
    <w:rsid w:val="00B452D5"/>
    <w:rsid w:val="00B5787E"/>
    <w:rsid w:val="00B64554"/>
    <w:rsid w:val="00B64703"/>
    <w:rsid w:val="00B726DF"/>
    <w:rsid w:val="00B736AC"/>
    <w:rsid w:val="00B91563"/>
    <w:rsid w:val="00BC043B"/>
    <w:rsid w:val="00BF608A"/>
    <w:rsid w:val="00C103D9"/>
    <w:rsid w:val="00C145D7"/>
    <w:rsid w:val="00C2129B"/>
    <w:rsid w:val="00C2454A"/>
    <w:rsid w:val="00C550F2"/>
    <w:rsid w:val="00C71BFD"/>
    <w:rsid w:val="00CF3EC5"/>
    <w:rsid w:val="00CF6282"/>
    <w:rsid w:val="00D11F67"/>
    <w:rsid w:val="00D431B1"/>
    <w:rsid w:val="00D44D5B"/>
    <w:rsid w:val="00D5164A"/>
    <w:rsid w:val="00D83D35"/>
    <w:rsid w:val="00D91573"/>
    <w:rsid w:val="00D91B26"/>
    <w:rsid w:val="00D9517F"/>
    <w:rsid w:val="00DC72D5"/>
    <w:rsid w:val="00DC7843"/>
    <w:rsid w:val="00DE34CB"/>
    <w:rsid w:val="00DF075B"/>
    <w:rsid w:val="00DF60D3"/>
    <w:rsid w:val="00E0200F"/>
    <w:rsid w:val="00E12FDA"/>
    <w:rsid w:val="00E3156D"/>
    <w:rsid w:val="00E5195F"/>
    <w:rsid w:val="00E52B2F"/>
    <w:rsid w:val="00E62414"/>
    <w:rsid w:val="00E736D7"/>
    <w:rsid w:val="00E75D87"/>
    <w:rsid w:val="00E767E6"/>
    <w:rsid w:val="00EA37AA"/>
    <w:rsid w:val="00EB6518"/>
    <w:rsid w:val="00ED2F6A"/>
    <w:rsid w:val="00EE412D"/>
    <w:rsid w:val="00EF67BD"/>
    <w:rsid w:val="00F11009"/>
    <w:rsid w:val="00F27931"/>
    <w:rsid w:val="00F53803"/>
    <w:rsid w:val="00F56623"/>
    <w:rsid w:val="00F57C27"/>
    <w:rsid w:val="00F973EF"/>
    <w:rsid w:val="00FA1C30"/>
    <w:rsid w:val="00FD12ED"/>
    <w:rsid w:val="00FE5584"/>
    <w:rsid w:val="00FE5EDE"/>
    <w:rsid w:val="00FE6D14"/>
    <w:rsid w:val="00FF5E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331D"/>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31D"/>
    <w:pPr>
      <w:ind w:left="720"/>
      <w:contextualSpacing/>
    </w:pPr>
  </w:style>
  <w:style w:type="paragraph" w:styleId="Header">
    <w:name w:val="header"/>
    <w:basedOn w:val="Normal"/>
    <w:link w:val="HeaderChar"/>
    <w:uiPriority w:val="99"/>
    <w:unhideWhenUsed/>
    <w:rsid w:val="00130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036"/>
  </w:style>
  <w:style w:type="paragraph" w:styleId="Footer">
    <w:name w:val="footer"/>
    <w:basedOn w:val="Normal"/>
    <w:link w:val="FooterChar"/>
    <w:uiPriority w:val="99"/>
    <w:unhideWhenUsed/>
    <w:rsid w:val="00130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036"/>
  </w:style>
  <w:style w:type="paragraph" w:styleId="FootnoteText">
    <w:name w:val="footnote text"/>
    <w:basedOn w:val="Normal"/>
    <w:link w:val="FootnoteTextChar"/>
    <w:uiPriority w:val="99"/>
    <w:semiHidden/>
    <w:unhideWhenUsed/>
    <w:rsid w:val="00634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3ED"/>
    <w:rPr>
      <w:sz w:val="20"/>
      <w:szCs w:val="20"/>
    </w:rPr>
  </w:style>
  <w:style w:type="character" w:styleId="FootnoteReference">
    <w:name w:val="footnote reference"/>
    <w:basedOn w:val="DefaultParagraphFont"/>
    <w:uiPriority w:val="99"/>
    <w:semiHidden/>
    <w:unhideWhenUsed/>
    <w:rsid w:val="006343ED"/>
    <w:rPr>
      <w:vertAlign w:val="superscript"/>
    </w:rPr>
  </w:style>
  <w:style w:type="paragraph" w:styleId="BalloonText">
    <w:name w:val="Balloon Text"/>
    <w:basedOn w:val="Normal"/>
    <w:link w:val="BalloonTextChar"/>
    <w:uiPriority w:val="99"/>
    <w:semiHidden/>
    <w:unhideWhenUsed/>
    <w:rsid w:val="004B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7E0"/>
    <w:rPr>
      <w:rFonts w:ascii="Tahoma" w:hAnsi="Tahoma" w:cs="Tahoma"/>
      <w:sz w:val="16"/>
      <w:szCs w:val="16"/>
    </w:rPr>
  </w:style>
  <w:style w:type="paragraph" w:customStyle="1" w:styleId="Default">
    <w:name w:val="Default"/>
    <w:rsid w:val="003F1F75"/>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4F3993"/>
    <w:pPr>
      <w:spacing w:line="231" w:lineRule="atLeast"/>
    </w:pPr>
    <w:rPr>
      <w:rFonts w:ascii="Franklin Gothic Book" w:hAnsi="Franklin Gothic Book" w:cstheme="minorBidi"/>
      <w:color w:val="auto"/>
      <w:lang w:val="en-US"/>
    </w:rPr>
  </w:style>
  <w:style w:type="character" w:customStyle="1" w:styleId="A9">
    <w:name w:val="A9"/>
    <w:uiPriority w:val="99"/>
    <w:rsid w:val="004F3993"/>
    <w:rPr>
      <w:rFonts w:cs="Franklin Gothic Book"/>
      <w:color w:val="000000"/>
      <w:sz w:val="18"/>
      <w:szCs w:val="18"/>
    </w:rPr>
  </w:style>
  <w:style w:type="paragraph" w:customStyle="1" w:styleId="Pa0">
    <w:name w:val="Pa0"/>
    <w:basedOn w:val="Default"/>
    <w:next w:val="Default"/>
    <w:uiPriority w:val="99"/>
    <w:rsid w:val="003F1D52"/>
    <w:pPr>
      <w:spacing w:line="241" w:lineRule="atLeast"/>
    </w:pPr>
    <w:rPr>
      <w:rFonts w:ascii="Minion Pro" w:hAnsi="Minion Pro" w:cstheme="minorBidi"/>
      <w:color w:val="auto"/>
      <w:lang w:val="en-US"/>
    </w:rPr>
  </w:style>
  <w:style w:type="character" w:customStyle="1" w:styleId="A0">
    <w:name w:val="A0"/>
    <w:uiPriority w:val="99"/>
    <w:rsid w:val="003F1D52"/>
    <w:rPr>
      <w:rFonts w:ascii="Franklin Gothic Medium" w:hAnsi="Franklin Gothic Medium" w:cs="Franklin Gothic Medium"/>
      <w:color w:val="000000"/>
      <w:sz w:val="19"/>
      <w:szCs w:val="19"/>
    </w:rPr>
  </w:style>
  <w:style w:type="character" w:customStyle="1" w:styleId="A16">
    <w:name w:val="A16"/>
    <w:uiPriority w:val="99"/>
    <w:rsid w:val="003F1D52"/>
    <w:rPr>
      <w:rFonts w:cs="Minion Pro"/>
      <w:color w:val="000000"/>
      <w:sz w:val="23"/>
      <w:szCs w:val="23"/>
    </w:rPr>
  </w:style>
  <w:style w:type="character" w:styleId="Hyperlink">
    <w:name w:val="Hyperlink"/>
    <w:basedOn w:val="DefaultParagraphFont"/>
    <w:uiPriority w:val="99"/>
    <w:unhideWhenUsed/>
    <w:rsid w:val="00A434F3"/>
    <w:rPr>
      <w:color w:val="0000FF" w:themeColor="hyperlink"/>
      <w:u w:val="single"/>
    </w:rPr>
  </w:style>
  <w:style w:type="paragraph" w:styleId="BodyText">
    <w:name w:val="Body Text"/>
    <w:basedOn w:val="Normal"/>
    <w:link w:val="BodyTextChar"/>
    <w:uiPriority w:val="99"/>
    <w:semiHidden/>
    <w:unhideWhenUsed/>
    <w:rsid w:val="004715C1"/>
    <w:pPr>
      <w:spacing w:after="120"/>
    </w:pPr>
  </w:style>
  <w:style w:type="character" w:customStyle="1" w:styleId="BodyTextChar">
    <w:name w:val="Body Text Char"/>
    <w:basedOn w:val="DefaultParagraphFont"/>
    <w:link w:val="BodyText"/>
    <w:uiPriority w:val="99"/>
    <w:semiHidden/>
    <w:rsid w:val="004715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331D"/>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31D"/>
    <w:pPr>
      <w:ind w:left="720"/>
      <w:contextualSpacing/>
    </w:pPr>
  </w:style>
  <w:style w:type="paragraph" w:styleId="Header">
    <w:name w:val="header"/>
    <w:basedOn w:val="Normal"/>
    <w:link w:val="HeaderChar"/>
    <w:uiPriority w:val="99"/>
    <w:unhideWhenUsed/>
    <w:rsid w:val="00130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036"/>
  </w:style>
  <w:style w:type="paragraph" w:styleId="Footer">
    <w:name w:val="footer"/>
    <w:basedOn w:val="Normal"/>
    <w:link w:val="FooterChar"/>
    <w:uiPriority w:val="99"/>
    <w:unhideWhenUsed/>
    <w:rsid w:val="00130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036"/>
  </w:style>
  <w:style w:type="paragraph" w:styleId="FootnoteText">
    <w:name w:val="footnote text"/>
    <w:basedOn w:val="Normal"/>
    <w:link w:val="FootnoteTextChar"/>
    <w:uiPriority w:val="99"/>
    <w:semiHidden/>
    <w:unhideWhenUsed/>
    <w:rsid w:val="00634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3ED"/>
    <w:rPr>
      <w:sz w:val="20"/>
      <w:szCs w:val="20"/>
    </w:rPr>
  </w:style>
  <w:style w:type="character" w:styleId="FootnoteReference">
    <w:name w:val="footnote reference"/>
    <w:basedOn w:val="DefaultParagraphFont"/>
    <w:uiPriority w:val="99"/>
    <w:semiHidden/>
    <w:unhideWhenUsed/>
    <w:rsid w:val="006343ED"/>
    <w:rPr>
      <w:vertAlign w:val="superscript"/>
    </w:rPr>
  </w:style>
  <w:style w:type="paragraph" w:styleId="BalloonText">
    <w:name w:val="Balloon Text"/>
    <w:basedOn w:val="Normal"/>
    <w:link w:val="BalloonTextChar"/>
    <w:uiPriority w:val="99"/>
    <w:semiHidden/>
    <w:unhideWhenUsed/>
    <w:rsid w:val="004B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7E0"/>
    <w:rPr>
      <w:rFonts w:ascii="Tahoma" w:hAnsi="Tahoma" w:cs="Tahoma"/>
      <w:sz w:val="16"/>
      <w:szCs w:val="16"/>
    </w:rPr>
  </w:style>
  <w:style w:type="paragraph" w:customStyle="1" w:styleId="Default">
    <w:name w:val="Default"/>
    <w:rsid w:val="003F1F75"/>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4F3993"/>
    <w:pPr>
      <w:spacing w:line="231" w:lineRule="atLeast"/>
    </w:pPr>
    <w:rPr>
      <w:rFonts w:ascii="Franklin Gothic Book" w:hAnsi="Franklin Gothic Book" w:cstheme="minorBidi"/>
      <w:color w:val="auto"/>
      <w:lang w:val="en-US"/>
    </w:rPr>
  </w:style>
  <w:style w:type="character" w:customStyle="1" w:styleId="A9">
    <w:name w:val="A9"/>
    <w:uiPriority w:val="99"/>
    <w:rsid w:val="004F3993"/>
    <w:rPr>
      <w:rFonts w:cs="Franklin Gothic Book"/>
      <w:color w:val="000000"/>
      <w:sz w:val="18"/>
      <w:szCs w:val="18"/>
    </w:rPr>
  </w:style>
  <w:style w:type="paragraph" w:customStyle="1" w:styleId="Pa0">
    <w:name w:val="Pa0"/>
    <w:basedOn w:val="Default"/>
    <w:next w:val="Default"/>
    <w:uiPriority w:val="99"/>
    <w:rsid w:val="003F1D52"/>
    <w:pPr>
      <w:spacing w:line="241" w:lineRule="atLeast"/>
    </w:pPr>
    <w:rPr>
      <w:rFonts w:ascii="Minion Pro" w:hAnsi="Minion Pro" w:cstheme="minorBidi"/>
      <w:color w:val="auto"/>
      <w:lang w:val="en-US"/>
    </w:rPr>
  </w:style>
  <w:style w:type="character" w:customStyle="1" w:styleId="A0">
    <w:name w:val="A0"/>
    <w:uiPriority w:val="99"/>
    <w:rsid w:val="003F1D52"/>
    <w:rPr>
      <w:rFonts w:ascii="Franklin Gothic Medium" w:hAnsi="Franklin Gothic Medium" w:cs="Franklin Gothic Medium"/>
      <w:color w:val="000000"/>
      <w:sz w:val="19"/>
      <w:szCs w:val="19"/>
    </w:rPr>
  </w:style>
  <w:style w:type="character" w:customStyle="1" w:styleId="A16">
    <w:name w:val="A16"/>
    <w:uiPriority w:val="99"/>
    <w:rsid w:val="003F1D52"/>
    <w:rPr>
      <w:rFonts w:cs="Minion Pro"/>
      <w:color w:val="000000"/>
      <w:sz w:val="23"/>
      <w:szCs w:val="23"/>
    </w:rPr>
  </w:style>
  <w:style w:type="character" w:styleId="Hyperlink">
    <w:name w:val="Hyperlink"/>
    <w:basedOn w:val="DefaultParagraphFont"/>
    <w:uiPriority w:val="99"/>
    <w:unhideWhenUsed/>
    <w:rsid w:val="00A434F3"/>
    <w:rPr>
      <w:color w:val="0000FF" w:themeColor="hyperlink"/>
      <w:u w:val="single"/>
    </w:rPr>
  </w:style>
  <w:style w:type="paragraph" w:styleId="BodyText">
    <w:name w:val="Body Text"/>
    <w:basedOn w:val="Normal"/>
    <w:link w:val="BodyTextChar"/>
    <w:uiPriority w:val="99"/>
    <w:semiHidden/>
    <w:unhideWhenUsed/>
    <w:rsid w:val="004715C1"/>
    <w:pPr>
      <w:spacing w:after="120"/>
    </w:pPr>
  </w:style>
  <w:style w:type="character" w:customStyle="1" w:styleId="BodyTextChar">
    <w:name w:val="Body Text Char"/>
    <w:basedOn w:val="DefaultParagraphFont"/>
    <w:link w:val="BodyText"/>
    <w:uiPriority w:val="99"/>
    <w:semiHidden/>
    <w:rsid w:val="00471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13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9F3AB-C110-4007-B13D-BE7760FD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Cobus Botes</dc:creator>
  <cp:lastModifiedBy>Mike Hix</cp:lastModifiedBy>
  <cp:revision>3</cp:revision>
  <cp:lastPrinted>2017-06-29T09:54:00Z</cp:lastPrinted>
  <dcterms:created xsi:type="dcterms:W3CDTF">2017-08-11T20:05:00Z</dcterms:created>
  <dcterms:modified xsi:type="dcterms:W3CDTF">2017-08-11T20:06:00Z</dcterms:modified>
</cp:coreProperties>
</file>