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40" w:rsidRPr="00345D40" w:rsidRDefault="00345D40" w:rsidP="00345D40">
      <w:pPr>
        <w:jc w:val="center"/>
        <w:rPr>
          <w:rFonts w:ascii="Cambria" w:hAnsi="Cambria"/>
        </w:rPr>
      </w:pPr>
      <w:bookmarkStart w:id="0" w:name="_GoBack"/>
      <w:bookmarkEnd w:id="0"/>
      <w:r w:rsidRPr="00345D40">
        <w:rPr>
          <w:rFonts w:asciiTheme="majorHAnsi" w:eastAsia="Times New Roman" w:hAnsiTheme="majorHAnsi" w:cs="Times New Roman"/>
          <w:noProof/>
          <w:color w:val="70AD47" w:themeColor="accent6"/>
          <w:sz w:val="24"/>
          <w:szCs w:val="24"/>
          <w:lang w:val="en-US"/>
        </w:rPr>
        <mc:AlternateContent>
          <mc:Choice Requires="wps">
            <w:drawing>
              <wp:anchor distT="0" distB="0" distL="114300" distR="114300" simplePos="0" relativeHeight="251659264" behindDoc="0" locked="0" layoutInCell="1" allowOverlap="1" wp14:anchorId="6AD759B0" wp14:editId="62989F55">
                <wp:simplePos x="0" y="0"/>
                <wp:positionH relativeFrom="column">
                  <wp:posOffset>6400800</wp:posOffset>
                </wp:positionH>
                <wp:positionV relativeFrom="paragraph">
                  <wp:posOffset>-470535</wp:posOffset>
                </wp:positionV>
                <wp:extent cx="2992755" cy="2065655"/>
                <wp:effectExtent l="0" t="0" r="1714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065655"/>
                        </a:xfrm>
                        <a:prstGeom prst="rect">
                          <a:avLst/>
                        </a:prstGeom>
                        <a:solidFill>
                          <a:srgbClr val="FFFFFF"/>
                        </a:solidFill>
                        <a:ln w="9525">
                          <a:solidFill>
                            <a:schemeClr val="bg1">
                              <a:lumMod val="50000"/>
                            </a:schemeClr>
                          </a:solidFill>
                          <a:miter lim="800000"/>
                          <a:headEnd/>
                          <a:tailEnd/>
                        </a:ln>
                      </wps:spPr>
                      <wps:txbx>
                        <w:txbxContent>
                          <w:p w:rsidR="004867C6" w:rsidRPr="00345D40" w:rsidRDefault="004867C6" w:rsidP="00345D40">
                            <w:pPr>
                              <w:spacing w:after="40"/>
                              <w:jc w:val="center"/>
                              <w:rPr>
                                <w:sz w:val="16"/>
                                <w:szCs w:val="16"/>
                              </w:rPr>
                            </w:pPr>
                            <w:r w:rsidRPr="00345D40">
                              <w:rPr>
                                <w:sz w:val="16"/>
                                <w:szCs w:val="16"/>
                              </w:rPr>
                              <w:t>Key to progress indicator 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5"/>
                              <w:gridCol w:w="3616"/>
                            </w:tblGrid>
                            <w:tr w:rsidR="004867C6" w:rsidRPr="00345D40" w:rsidTr="004867C6">
                              <w:tc>
                                <w:tcPr>
                                  <w:tcW w:w="817" w:type="dxa"/>
                                  <w:shd w:val="clear" w:color="auto" w:fill="92D05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 xml:space="preserve">Initiatives / projects on schedule </w:t>
                                  </w:r>
                                </w:p>
                              </w:tc>
                            </w:tr>
                            <w:tr w:rsidR="004867C6" w:rsidRPr="00345D40" w:rsidTr="004867C6">
                              <w:tc>
                                <w:tcPr>
                                  <w:tcW w:w="817" w:type="dxa"/>
                                  <w:shd w:val="clear" w:color="auto" w:fill="FFC00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Initiatives / projects behind schedule</w:t>
                                  </w:r>
                                </w:p>
                              </w:tc>
                            </w:tr>
                            <w:tr w:rsidR="004867C6" w:rsidRPr="00345D40" w:rsidTr="004867C6">
                              <w:tc>
                                <w:tcPr>
                                  <w:tcW w:w="817" w:type="dxa"/>
                                  <w:shd w:val="clear" w:color="auto" w:fill="FF5757"/>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Internal factors</w:t>
                                  </w:r>
                                </w:p>
                              </w:tc>
                            </w:tr>
                            <w:tr w:rsidR="004867C6" w:rsidRPr="00345D40" w:rsidTr="004867C6">
                              <w:tc>
                                <w:tcPr>
                                  <w:tcW w:w="817" w:type="dxa"/>
                                  <w:shd w:val="clear" w:color="auto" w:fill="BF8F00" w:themeFill="accent4" w:themeFillShade="B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External factors (beyond the control of the WG)</w:t>
                                  </w:r>
                                </w:p>
                              </w:tc>
                            </w:tr>
                            <w:tr w:rsidR="004867C6" w:rsidRPr="00345D40" w:rsidTr="004867C6">
                              <w:tc>
                                <w:tcPr>
                                  <w:tcW w:w="817" w:type="dxa"/>
                                  <w:shd w:val="clear" w:color="auto" w:fill="29D6F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Not yet scheduled to start</w:t>
                                  </w:r>
                                </w:p>
                              </w:tc>
                            </w:tr>
                            <w:tr w:rsidR="004867C6" w:rsidRPr="00345D40" w:rsidTr="004867C6">
                              <w:tc>
                                <w:tcPr>
                                  <w:tcW w:w="817" w:type="dxa"/>
                                  <w:shd w:val="clear" w:color="auto" w:fill="404040" w:themeFill="text1" w:themeFillTint="BF"/>
                                </w:tcPr>
                                <w:p w:rsidR="004867C6" w:rsidRPr="00345D40" w:rsidRDefault="004867C6">
                                  <w:pPr>
                                    <w:rPr>
                                      <w:sz w:val="16"/>
                                      <w:szCs w:val="16"/>
                                    </w:rPr>
                                  </w:pPr>
                                </w:p>
                              </w:tc>
                              <w:tc>
                                <w:tcPr>
                                  <w:tcW w:w="3768" w:type="dxa"/>
                                </w:tcPr>
                                <w:p w:rsidR="004867C6" w:rsidRPr="00345D40" w:rsidRDefault="004867C6">
                                  <w:pPr>
                                    <w:rPr>
                                      <w:sz w:val="16"/>
                                      <w:szCs w:val="16"/>
                                    </w:rPr>
                                  </w:pPr>
                                  <w:r w:rsidRPr="00345D40">
                                    <w:rPr>
                                      <w:sz w:val="16"/>
                                      <w:szCs w:val="16"/>
                                    </w:rPr>
                                    <w:t xml:space="preserve">Initiatives  / projects completed </w:t>
                                  </w:r>
                                </w:p>
                              </w:tc>
                            </w:tr>
                          </w:tbl>
                          <w:p w:rsidR="004867C6" w:rsidRPr="00345D40" w:rsidRDefault="004867C6" w:rsidP="00345D4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759B0" id="_x0000_t202" coordsize="21600,21600" o:spt="202" path="m,l,21600r21600,l21600,xe">
                <v:stroke joinstyle="miter"/>
                <v:path gradientshapeok="t" o:connecttype="rect"/>
              </v:shapetype>
              <v:shape id="Text Box 2" o:spid="_x0000_s1026" type="#_x0000_t202" style="position:absolute;left:0;text-align:left;margin-left:7in;margin-top:-37.05pt;width:235.65pt;height:1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" strokecolor="#7f7f7f [1612]">
                <v:textbox>
                  <w:txbxContent>
                    <w:p w:rsidR="004867C6" w:rsidRPr="00345D40" w:rsidRDefault="004867C6" w:rsidP="00345D40">
                      <w:pPr>
                        <w:spacing w:after="40"/>
                        <w:jc w:val="center"/>
                        <w:rPr>
                          <w:sz w:val="16"/>
                          <w:szCs w:val="16"/>
                        </w:rPr>
                      </w:pPr>
                      <w:r w:rsidRPr="00345D40">
                        <w:rPr>
                          <w:sz w:val="16"/>
                          <w:szCs w:val="16"/>
                        </w:rPr>
                        <w:t>Key to progress indicator 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5"/>
                        <w:gridCol w:w="3616"/>
                      </w:tblGrid>
                      <w:tr w:rsidR="004867C6" w:rsidRPr="00345D40" w:rsidTr="004867C6">
                        <w:tc>
                          <w:tcPr>
                            <w:tcW w:w="817" w:type="dxa"/>
                            <w:shd w:val="clear" w:color="auto" w:fill="92D05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 xml:space="preserve">Initiatives / projects on schedule </w:t>
                            </w:r>
                          </w:p>
                        </w:tc>
                      </w:tr>
                      <w:tr w:rsidR="004867C6" w:rsidRPr="00345D40" w:rsidTr="004867C6">
                        <w:tc>
                          <w:tcPr>
                            <w:tcW w:w="817" w:type="dxa"/>
                            <w:shd w:val="clear" w:color="auto" w:fill="FFC000"/>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Initiatives / projects behind schedule</w:t>
                            </w:r>
                          </w:p>
                        </w:tc>
                      </w:tr>
                      <w:tr w:rsidR="004867C6" w:rsidRPr="00345D40" w:rsidTr="004867C6">
                        <w:tc>
                          <w:tcPr>
                            <w:tcW w:w="817" w:type="dxa"/>
                            <w:shd w:val="clear" w:color="auto" w:fill="FF5757"/>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Internal factors</w:t>
                            </w:r>
                          </w:p>
                        </w:tc>
                      </w:tr>
                      <w:tr w:rsidR="004867C6" w:rsidRPr="00345D40" w:rsidTr="004867C6">
                        <w:tc>
                          <w:tcPr>
                            <w:tcW w:w="817" w:type="dxa"/>
                            <w:shd w:val="clear" w:color="auto" w:fill="BF8F00" w:themeFill="accent4" w:themeFillShade="B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Serious difficulties being experienced – External factors (beyond the control of the WG)</w:t>
                            </w:r>
                          </w:p>
                        </w:tc>
                      </w:tr>
                      <w:tr w:rsidR="004867C6" w:rsidRPr="00345D40" w:rsidTr="004867C6">
                        <w:tc>
                          <w:tcPr>
                            <w:tcW w:w="817" w:type="dxa"/>
                            <w:shd w:val="clear" w:color="auto" w:fill="29D6FF"/>
                          </w:tcPr>
                          <w:p w:rsidR="004867C6" w:rsidRPr="00345D40" w:rsidRDefault="004867C6">
                            <w:pPr>
                              <w:rPr>
                                <w:sz w:val="16"/>
                                <w:szCs w:val="16"/>
                              </w:rPr>
                            </w:pPr>
                          </w:p>
                        </w:tc>
                        <w:tc>
                          <w:tcPr>
                            <w:tcW w:w="3768" w:type="dxa"/>
                          </w:tcPr>
                          <w:p w:rsidR="004867C6" w:rsidRPr="00345D40" w:rsidRDefault="004867C6" w:rsidP="004867C6">
                            <w:pPr>
                              <w:spacing w:line="240" w:lineRule="auto"/>
                              <w:rPr>
                                <w:sz w:val="16"/>
                                <w:szCs w:val="16"/>
                              </w:rPr>
                            </w:pPr>
                            <w:r w:rsidRPr="00345D40">
                              <w:rPr>
                                <w:sz w:val="16"/>
                                <w:szCs w:val="16"/>
                              </w:rPr>
                              <w:t>Not yet scheduled to start</w:t>
                            </w:r>
                          </w:p>
                        </w:tc>
                      </w:tr>
                      <w:tr w:rsidR="004867C6" w:rsidRPr="00345D40" w:rsidTr="004867C6">
                        <w:tc>
                          <w:tcPr>
                            <w:tcW w:w="817" w:type="dxa"/>
                            <w:shd w:val="clear" w:color="auto" w:fill="404040" w:themeFill="text1" w:themeFillTint="BF"/>
                          </w:tcPr>
                          <w:p w:rsidR="004867C6" w:rsidRPr="00345D40" w:rsidRDefault="004867C6">
                            <w:pPr>
                              <w:rPr>
                                <w:sz w:val="16"/>
                                <w:szCs w:val="16"/>
                              </w:rPr>
                            </w:pPr>
                          </w:p>
                        </w:tc>
                        <w:tc>
                          <w:tcPr>
                            <w:tcW w:w="3768" w:type="dxa"/>
                          </w:tcPr>
                          <w:p w:rsidR="004867C6" w:rsidRPr="00345D40" w:rsidRDefault="004867C6">
                            <w:pPr>
                              <w:rPr>
                                <w:sz w:val="16"/>
                                <w:szCs w:val="16"/>
                              </w:rPr>
                            </w:pPr>
                            <w:r w:rsidRPr="00345D40">
                              <w:rPr>
                                <w:sz w:val="16"/>
                                <w:szCs w:val="16"/>
                              </w:rPr>
                              <w:t xml:space="preserve">Initiatives  / projects completed </w:t>
                            </w:r>
                          </w:p>
                        </w:tc>
                      </w:tr>
                    </w:tbl>
                    <w:p w:rsidR="004867C6" w:rsidRPr="00345D40" w:rsidRDefault="004867C6" w:rsidP="00345D40">
                      <w:pPr>
                        <w:rPr>
                          <w:sz w:val="16"/>
                          <w:szCs w:val="16"/>
                        </w:rPr>
                      </w:pPr>
                    </w:p>
                  </w:txbxContent>
                </v:textbox>
              </v:shape>
            </w:pict>
          </mc:Fallback>
        </mc:AlternateContent>
      </w:r>
      <w:r w:rsidRPr="00345D40">
        <w:rPr>
          <w:rFonts w:ascii="Cambria" w:hAnsi="Cambria"/>
          <w:color w:val="70AD47" w:themeColor="accent6"/>
        </w:rPr>
        <w:t>INTOSAI WGEA WORK PLAN 2017-2019</w:t>
      </w:r>
    </w:p>
    <w:p w:rsidR="00345D40" w:rsidRDefault="00345D40" w:rsidP="00345D40">
      <w:pPr>
        <w:rPr>
          <w:rFonts w:ascii="Cambria" w:hAnsi="Cambria"/>
          <w:b/>
        </w:rPr>
      </w:pPr>
    </w:p>
    <w:p w:rsidR="00345D40" w:rsidRDefault="00345D40" w:rsidP="00345D40">
      <w:pPr>
        <w:rPr>
          <w:rFonts w:ascii="Cambria" w:hAnsi="Cambria"/>
          <w:b/>
        </w:rPr>
      </w:pPr>
    </w:p>
    <w:p w:rsidR="00345D40" w:rsidRPr="00345D40" w:rsidRDefault="00345D40" w:rsidP="00345D40">
      <w:pPr>
        <w:rPr>
          <w:rFonts w:ascii="Cambria" w:hAnsi="Cambria"/>
          <w:b/>
          <w:color w:val="70AD47" w:themeColor="accent6"/>
        </w:rPr>
      </w:pPr>
      <w:r w:rsidRPr="00345D40">
        <w:rPr>
          <w:rFonts w:ascii="Cambria" w:hAnsi="Cambria"/>
          <w:b/>
          <w:color w:val="70AD47" w:themeColor="accent6"/>
        </w:rPr>
        <w:t>REPORTING DASHBOARD – INTOSAI WORKING GROUP ON ENVIRONMENTAL AUDITING (WGEA)</w:t>
      </w:r>
    </w:p>
    <w:p w:rsidR="00345D40" w:rsidRPr="00345D40" w:rsidRDefault="00345D40" w:rsidP="00345D40">
      <w:pPr>
        <w:rPr>
          <w:rFonts w:ascii="Cambria" w:hAnsi="Cambria"/>
          <w:b/>
          <w:color w:val="70AD47" w:themeColor="accent6"/>
        </w:rPr>
      </w:pPr>
      <w:r w:rsidRPr="00345D40">
        <w:rPr>
          <w:rFonts w:ascii="Cambria" w:hAnsi="Cambria"/>
          <w:b/>
          <w:color w:val="70AD47" w:themeColor="accent6"/>
        </w:rPr>
        <w:t>GOALS REVIEW REPORT</w:t>
      </w:r>
    </w:p>
    <w:p w:rsidR="00345D40" w:rsidRPr="00345D40" w:rsidRDefault="00345D40">
      <w:pPr>
        <w:rPr>
          <w:rFonts w:ascii="Cambria" w:hAnsi="Cambria"/>
        </w:rPr>
      </w:pPr>
    </w:p>
    <w:tbl>
      <w:tblPr>
        <w:tblStyle w:val="TableGrid"/>
        <w:tblW w:w="15291" w:type="dxa"/>
        <w:tblInd w:w="-356" w:type="dxa"/>
        <w:tblCellMar>
          <w:left w:w="115" w:type="dxa"/>
          <w:right w:w="115" w:type="dxa"/>
        </w:tblCellMar>
        <w:tblLook w:val="04A0" w:firstRow="1" w:lastRow="0" w:firstColumn="1" w:lastColumn="0" w:noHBand="0" w:noVBand="1"/>
      </w:tblPr>
      <w:tblGrid>
        <w:gridCol w:w="2246"/>
        <w:gridCol w:w="3595"/>
        <w:gridCol w:w="3870"/>
        <w:gridCol w:w="5580"/>
      </w:tblGrid>
      <w:tr w:rsidR="00345D40" w:rsidRPr="00345D40" w:rsidTr="0075214E">
        <w:trPr>
          <w:tblHeader/>
        </w:trPr>
        <w:tc>
          <w:tcPr>
            <w:tcW w:w="2246" w:type="dxa"/>
            <w:shd w:val="clear" w:color="auto" w:fill="1F4E79" w:themeFill="accent1" w:themeFillShade="80"/>
            <w:vAlign w:val="center"/>
          </w:tcPr>
          <w:p w:rsidR="00345D40" w:rsidRPr="00C06EFF" w:rsidRDefault="000435DC" w:rsidP="004867C6">
            <w:pPr>
              <w:spacing w:line="240" w:lineRule="atLeast"/>
              <w:jc w:val="center"/>
              <w:rPr>
                <w:rFonts w:ascii="Cambria" w:hAnsi="Cambria"/>
                <w:b/>
                <w:color w:val="FFFFFF" w:themeColor="background1"/>
              </w:rPr>
            </w:pPr>
            <w:r w:rsidRPr="00C06EFF">
              <w:rPr>
                <w:rFonts w:ascii="Cambria" w:hAnsi="Cambria"/>
                <w:b/>
                <w:color w:val="FFFFFF" w:themeColor="background1"/>
              </w:rPr>
              <w:t>Strategic Objectives</w:t>
            </w:r>
          </w:p>
          <w:p w:rsidR="00345D40" w:rsidRPr="00C06EFF" w:rsidRDefault="00345D40" w:rsidP="00345D40">
            <w:pPr>
              <w:spacing w:line="240" w:lineRule="atLeast"/>
              <w:jc w:val="center"/>
              <w:rPr>
                <w:rFonts w:ascii="Cambria" w:hAnsi="Cambria"/>
                <w:color w:val="FFFFFF" w:themeColor="background1"/>
              </w:rPr>
            </w:pPr>
            <w:r w:rsidRPr="00C06EFF">
              <w:rPr>
                <w:rFonts w:ascii="Cambria" w:hAnsi="Cambria"/>
                <w:color w:val="FFFFFF" w:themeColor="background1"/>
              </w:rPr>
              <w:t xml:space="preserve">(as per </w:t>
            </w:r>
            <w:r w:rsidR="000435DC" w:rsidRPr="00C06EFF">
              <w:rPr>
                <w:rFonts w:ascii="Cambria" w:hAnsi="Cambria"/>
                <w:color w:val="FFFFFF" w:themeColor="background1"/>
              </w:rPr>
              <w:t>S</w:t>
            </w:r>
            <w:r w:rsidRPr="00C06EFF">
              <w:rPr>
                <w:rFonts w:ascii="Cambria" w:hAnsi="Cambria"/>
                <w:color w:val="FFFFFF" w:themeColor="background1"/>
              </w:rPr>
              <w:t>P 2017-19)</w:t>
            </w:r>
          </w:p>
        </w:tc>
        <w:tc>
          <w:tcPr>
            <w:tcW w:w="3595"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Strategies &amp; initiatives </w:t>
            </w:r>
          </w:p>
          <w:p w:rsidR="00345D40" w:rsidRPr="00345D40" w:rsidRDefault="000435DC" w:rsidP="004867C6">
            <w:pPr>
              <w:spacing w:line="240" w:lineRule="atLeast"/>
              <w:jc w:val="center"/>
              <w:rPr>
                <w:rFonts w:ascii="Cambria" w:hAnsi="Cambria"/>
                <w:color w:val="FFFFFF" w:themeColor="background1"/>
              </w:rPr>
            </w:pPr>
            <w:r>
              <w:rPr>
                <w:rFonts w:ascii="Cambria" w:hAnsi="Cambria"/>
                <w:color w:val="FFFFFF" w:themeColor="background1"/>
              </w:rPr>
              <w:t>(as per S</w:t>
            </w:r>
            <w:r w:rsidR="00345D40" w:rsidRPr="00345D40">
              <w:rPr>
                <w:rFonts w:ascii="Cambria" w:hAnsi="Cambria"/>
                <w:color w:val="FFFFFF" w:themeColor="background1"/>
              </w:rPr>
              <w:t>P 2017-22)</w:t>
            </w:r>
          </w:p>
        </w:tc>
        <w:tc>
          <w:tcPr>
            <w:tcW w:w="3870"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Performance  </w:t>
            </w:r>
          </w:p>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indicator</w:t>
            </w:r>
            <w:r w:rsidRPr="00345D40">
              <w:rPr>
                <w:rStyle w:val="FootnoteReference"/>
                <w:rFonts w:ascii="Cambria" w:hAnsi="Cambria"/>
                <w:b/>
                <w:color w:val="FFFFFF" w:themeColor="background1"/>
              </w:rPr>
              <w:footnoteReference w:id="1"/>
            </w:r>
          </w:p>
        </w:tc>
        <w:tc>
          <w:tcPr>
            <w:tcW w:w="5580" w:type="dxa"/>
            <w:shd w:val="clear" w:color="auto" w:fill="1F4E79" w:themeFill="accent1" w:themeFillShade="80"/>
            <w:vAlign w:val="center"/>
          </w:tcPr>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Action items</w:t>
            </w:r>
            <w:r w:rsidRPr="00345D40">
              <w:rPr>
                <w:rStyle w:val="FootnoteReference"/>
                <w:rFonts w:ascii="Cambria" w:hAnsi="Cambria"/>
                <w:b/>
                <w:color w:val="FFFFFF" w:themeColor="background1"/>
              </w:rPr>
              <w:footnoteReference w:id="2"/>
            </w:r>
          </w:p>
          <w:p w:rsidR="00345D40" w:rsidRPr="00345D40" w:rsidRDefault="00345D40" w:rsidP="004867C6">
            <w:pPr>
              <w:spacing w:line="240" w:lineRule="atLeast"/>
              <w:jc w:val="center"/>
              <w:rPr>
                <w:rFonts w:ascii="Cambria" w:hAnsi="Cambria"/>
                <w:b/>
                <w:color w:val="FFFFFF" w:themeColor="background1"/>
              </w:rPr>
            </w:pPr>
            <w:r w:rsidRPr="00345D40">
              <w:rPr>
                <w:rFonts w:ascii="Cambria" w:hAnsi="Cambria"/>
                <w:b/>
                <w:color w:val="FFFFFF" w:themeColor="background1"/>
              </w:rPr>
              <w:t xml:space="preserve">and other comment </w:t>
            </w:r>
          </w:p>
        </w:tc>
      </w:tr>
      <w:tr w:rsidR="008A2CB0" w:rsidRPr="00345D40" w:rsidTr="00B74236">
        <w:trPr>
          <w:trHeight w:val="2848"/>
        </w:trPr>
        <w:tc>
          <w:tcPr>
            <w:tcW w:w="2246" w:type="dxa"/>
            <w:vAlign w:val="center"/>
          </w:tcPr>
          <w:p w:rsidR="008A2CB0" w:rsidRPr="00C06EFF" w:rsidRDefault="008A2CB0" w:rsidP="008A2CB0">
            <w:pPr>
              <w:pStyle w:val="Default"/>
              <w:jc w:val="both"/>
              <w:rPr>
                <w:rFonts w:ascii="Cambria" w:hAnsi="Cambria" w:cs="Times New Roman"/>
                <w:color w:val="auto"/>
                <w:sz w:val="20"/>
                <w:szCs w:val="20"/>
              </w:rPr>
            </w:pPr>
            <w:r w:rsidRPr="00C06EFF">
              <w:rPr>
                <w:rFonts w:ascii="Cambria" w:hAnsi="Cambria" w:cs="Times New Roman"/>
                <w:color w:val="auto"/>
                <w:sz w:val="20"/>
                <w:szCs w:val="20"/>
              </w:rPr>
              <w:t>S.O.1</w:t>
            </w:r>
          </w:p>
          <w:p w:rsidR="008A2CB0" w:rsidRPr="00C06EFF" w:rsidRDefault="008A2CB0" w:rsidP="008A2CB0">
            <w:pPr>
              <w:pStyle w:val="Default"/>
              <w:jc w:val="both"/>
              <w:rPr>
                <w:rFonts w:ascii="Cambria" w:hAnsi="Cambria" w:cs="Times New Roman"/>
                <w:color w:val="auto"/>
                <w:sz w:val="20"/>
                <w:szCs w:val="20"/>
              </w:rPr>
            </w:pPr>
            <w:r w:rsidRPr="00C06EFF">
              <w:rPr>
                <w:rFonts w:ascii="Cambria" w:hAnsi="Cambria" w:cs="Times New Roman"/>
                <w:color w:val="auto"/>
                <w:sz w:val="20"/>
                <w:szCs w:val="20"/>
              </w:rPr>
              <w:t>Develop and maintain expertise in the various fields of public-sector auditing and help to provide content to the INTOSAI Framework for Professional Pronouncements.</w:t>
            </w:r>
          </w:p>
          <w:p w:rsidR="008A2CB0" w:rsidRPr="00C06EFF" w:rsidRDefault="008A2CB0" w:rsidP="008A2CB0">
            <w:pPr>
              <w:autoSpaceDE w:val="0"/>
              <w:autoSpaceDN w:val="0"/>
              <w:adjustRightInd w:val="0"/>
              <w:spacing w:line="240" w:lineRule="auto"/>
              <w:rPr>
                <w:rFonts w:ascii="Cambria" w:eastAsia="Calibri" w:hAnsi="Cambria"/>
                <w:spacing w:val="-2"/>
              </w:rPr>
            </w:pPr>
          </w:p>
        </w:tc>
        <w:tc>
          <w:tcPr>
            <w:tcW w:w="3595" w:type="dxa"/>
            <w:shd w:val="clear" w:color="auto" w:fill="auto"/>
            <w:vAlign w:val="center"/>
          </w:tcPr>
          <w:p w:rsidR="008A2CB0" w:rsidRDefault="008A2CB0" w:rsidP="008A2CB0">
            <w:pPr>
              <w:spacing w:after="0" w:line="240" w:lineRule="auto"/>
              <w:jc w:val="both"/>
              <w:rPr>
                <w:rFonts w:ascii="Cambria" w:hAnsi="Cambria" w:cs="Arial"/>
              </w:rPr>
            </w:pPr>
            <w:r>
              <w:rPr>
                <w:rFonts w:ascii="Cambria" w:hAnsi="Cambria" w:cs="Arial"/>
              </w:rPr>
              <w:t>Postponed Initiatives on ISSAI 5130 Review</w:t>
            </w:r>
          </w:p>
          <w:p w:rsidR="008A2CB0" w:rsidRDefault="008A2CB0" w:rsidP="008A2CB0">
            <w:pPr>
              <w:spacing w:after="0" w:line="240" w:lineRule="auto"/>
              <w:jc w:val="both"/>
              <w:rPr>
                <w:rFonts w:ascii="Cambria" w:hAnsi="Cambria" w:cs="Arial"/>
              </w:rPr>
            </w:pPr>
            <w:r>
              <w:rPr>
                <w:rFonts w:ascii="Cambria" w:hAnsi="Cambria" w:cs="Arial"/>
              </w:rPr>
              <w:t>Due to recent development of the issues and ongoing audits related to the topics, INTOSAI WGEA planned to postpone the finalization of the revised document until 2019.</w:t>
            </w:r>
          </w:p>
          <w:p w:rsidR="008A2CB0" w:rsidRPr="00CD7B24" w:rsidRDefault="008A2CB0" w:rsidP="008A2CB0">
            <w:pPr>
              <w:spacing w:after="0" w:line="240" w:lineRule="auto"/>
              <w:jc w:val="both"/>
              <w:rPr>
                <w:rFonts w:ascii="Cambria" w:hAnsi="Cambria" w:cs="Arial"/>
              </w:rPr>
            </w:pPr>
          </w:p>
        </w:tc>
        <w:tc>
          <w:tcPr>
            <w:tcW w:w="3870" w:type="dxa"/>
            <w:shd w:val="clear" w:color="auto" w:fill="auto"/>
            <w:vAlign w:val="center"/>
          </w:tcPr>
          <w:p w:rsidR="008A2CB0" w:rsidRDefault="008A2CB0" w:rsidP="008A2CB0">
            <w:pPr>
              <w:spacing w:after="0" w:line="240" w:lineRule="auto"/>
              <w:rPr>
                <w:rFonts w:ascii="Cambria" w:hAnsi="Cambria"/>
              </w:rPr>
            </w:pPr>
          </w:p>
        </w:tc>
        <w:tc>
          <w:tcPr>
            <w:tcW w:w="5580" w:type="dxa"/>
            <w:shd w:val="clear" w:color="auto" w:fill="00B0F0"/>
            <w:vAlign w:val="center"/>
          </w:tcPr>
          <w:p w:rsidR="008A2CB0" w:rsidRPr="00CD7B24" w:rsidRDefault="008A2CB0" w:rsidP="00B74236">
            <w:pPr>
              <w:spacing w:after="0" w:line="240" w:lineRule="auto"/>
              <w:jc w:val="center"/>
              <w:rPr>
                <w:rFonts w:ascii="Cambria" w:hAnsi="Cambria" w:cs="Arial"/>
                <w:lang w:val="en-CA"/>
              </w:rPr>
            </w:pPr>
            <w:r>
              <w:rPr>
                <w:rFonts w:ascii="Cambria" w:hAnsi="Cambria" w:cs="Arial"/>
                <w:lang w:val="en-CA"/>
              </w:rPr>
              <w:t>Review of ISSAI 5130 Document</w:t>
            </w:r>
          </w:p>
        </w:tc>
      </w:tr>
      <w:tr w:rsidR="00FB5BA4" w:rsidRPr="00345D40" w:rsidTr="0075214E">
        <w:trPr>
          <w:trHeight w:val="2848"/>
        </w:trPr>
        <w:tc>
          <w:tcPr>
            <w:tcW w:w="2246" w:type="dxa"/>
            <w:vMerge w:val="restart"/>
            <w:vAlign w:val="center"/>
          </w:tcPr>
          <w:p w:rsidR="00FB5BA4" w:rsidRPr="00C06EFF" w:rsidRDefault="00FB5BA4" w:rsidP="00FB5BA4">
            <w:pPr>
              <w:autoSpaceDE w:val="0"/>
              <w:autoSpaceDN w:val="0"/>
              <w:adjustRightInd w:val="0"/>
              <w:spacing w:after="0" w:line="240" w:lineRule="auto"/>
              <w:jc w:val="center"/>
              <w:rPr>
                <w:rFonts w:ascii="Cambria" w:hAnsi="Cambria"/>
              </w:rPr>
            </w:pPr>
            <w:r w:rsidRPr="00C06EFF">
              <w:rPr>
                <w:rFonts w:ascii="Cambria" w:hAnsi="Cambria"/>
              </w:rPr>
              <w:lastRenderedPageBreak/>
              <w:t>S.O.2</w:t>
            </w:r>
          </w:p>
          <w:p w:rsidR="00FB5BA4" w:rsidRPr="00C06EFF" w:rsidRDefault="00FB5BA4" w:rsidP="00FB5BA4">
            <w:pPr>
              <w:autoSpaceDE w:val="0"/>
              <w:autoSpaceDN w:val="0"/>
              <w:adjustRightInd w:val="0"/>
              <w:spacing w:line="240" w:lineRule="auto"/>
              <w:jc w:val="center"/>
              <w:rPr>
                <w:rFonts w:ascii="Cambria" w:hAnsi="Cambria"/>
              </w:rPr>
            </w:pPr>
            <w:r w:rsidRPr="00C06EFF">
              <w:rPr>
                <w:rFonts w:ascii="Cambria" w:hAnsi="Cambria"/>
              </w:rPr>
              <w:t>Enable wide exchange of knowledge and experience among INTOSAI members.</w:t>
            </w:r>
          </w:p>
          <w:p w:rsidR="00FB5BA4" w:rsidRPr="00C06EFF" w:rsidRDefault="00FB5BA4" w:rsidP="00FB5BA4">
            <w:pPr>
              <w:jc w:val="center"/>
              <w:rPr>
                <w:rFonts w:ascii="Cambria" w:hAnsi="Cambria"/>
              </w:rPr>
            </w:pPr>
          </w:p>
        </w:tc>
        <w:tc>
          <w:tcPr>
            <w:tcW w:w="3595" w:type="dxa"/>
            <w:shd w:val="clear" w:color="auto" w:fill="auto"/>
            <w:vAlign w:val="center"/>
          </w:tcPr>
          <w:p w:rsidR="00FB5BA4" w:rsidRPr="00CD7B24" w:rsidRDefault="00FB5BA4" w:rsidP="00F86385">
            <w:pPr>
              <w:spacing w:after="120" w:line="240" w:lineRule="auto"/>
              <w:jc w:val="both"/>
              <w:rPr>
                <w:rFonts w:ascii="Cambria" w:hAnsi="Cambria" w:cs="Arial"/>
              </w:rPr>
            </w:pPr>
            <w:r>
              <w:rPr>
                <w:rFonts w:ascii="Cambria" w:hAnsi="Cambria" w:cs="Arial"/>
              </w:rPr>
              <w:t xml:space="preserve">Developing Audit Guidance: </w:t>
            </w:r>
            <w:r w:rsidRPr="00CD7B24">
              <w:rPr>
                <w:rFonts w:ascii="Cambria" w:hAnsi="Cambria" w:cs="Arial"/>
              </w:rPr>
              <w:t xml:space="preserve">the WGEA provides guidance on how to audit a particular environmental or sustainable development topic. Such materials provide a useful starting point for SAIs undertaking an audit on the same topic. </w:t>
            </w:r>
          </w:p>
          <w:p w:rsidR="00FB5BA4" w:rsidRPr="00CD7B24" w:rsidRDefault="00FB5BA4" w:rsidP="00F86385">
            <w:pPr>
              <w:spacing w:after="0" w:line="240" w:lineRule="auto"/>
              <w:jc w:val="both"/>
              <w:rPr>
                <w:rFonts w:ascii="Cambria" w:hAnsi="Cambria" w:cs="Arial"/>
              </w:rPr>
            </w:pPr>
            <w:r w:rsidRPr="00CD7B24">
              <w:rPr>
                <w:rFonts w:ascii="Cambria" w:hAnsi="Cambria" w:cs="Arial"/>
              </w:rPr>
              <w:t xml:space="preserve">. </w:t>
            </w:r>
          </w:p>
          <w:p w:rsidR="00FB5BA4" w:rsidRPr="00CD7B24" w:rsidRDefault="00FB5BA4" w:rsidP="00F86385">
            <w:pPr>
              <w:spacing w:after="0" w:line="240" w:lineRule="auto"/>
              <w:rPr>
                <w:rFonts w:ascii="Cambria" w:hAnsi="Cambria" w:cs="Arial"/>
              </w:rPr>
            </w:pPr>
          </w:p>
        </w:tc>
        <w:tc>
          <w:tcPr>
            <w:tcW w:w="3870" w:type="dxa"/>
            <w:shd w:val="clear" w:color="auto" w:fill="auto"/>
            <w:vAlign w:val="center"/>
          </w:tcPr>
          <w:p w:rsidR="00D96BAD" w:rsidRPr="00CD7B24" w:rsidRDefault="00FB5BA4" w:rsidP="00D96BAD">
            <w:pPr>
              <w:pStyle w:val="tabletext"/>
              <w:spacing w:before="0" w:after="0"/>
              <w:rPr>
                <w:rFonts w:ascii="Cambria" w:hAnsi="Cambria"/>
                <w:lang w:val="id-ID"/>
              </w:rPr>
            </w:pPr>
            <w:r>
              <w:rPr>
                <w:rFonts w:ascii="Cambria" w:hAnsi="Cambria"/>
              </w:rPr>
              <w:t>4 (four) published documents on audit guidelines by 2019</w:t>
            </w:r>
            <w:r w:rsidR="00D96BAD" w:rsidRPr="00CD7B24">
              <w:rPr>
                <w:rFonts w:ascii="Cambria" w:hAnsi="Cambria"/>
                <w:lang w:val="id-ID"/>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Pr>
                <w:rFonts w:ascii="Cambria" w:hAnsi="Cambria" w:cs="Tahoma"/>
                <w:lang w:val="en-CA"/>
              </w:rPr>
              <w:t>Climate Change</w:t>
            </w:r>
            <w:r w:rsidRPr="00CD7B24">
              <w:rPr>
                <w:rFonts w:ascii="Cambria" w:hAnsi="Cambria" w:cs="Tahoma"/>
                <w:lang w:val="en-CA"/>
              </w:rPr>
              <w:t>: Strengthen resilience and adaptive capacity to climate-related hazards and natural disasters in all countries</w:t>
            </w:r>
            <w:r w:rsidR="00B13461">
              <w:rPr>
                <w:rFonts w:ascii="Cambria" w:hAnsi="Cambria" w:cs="Tahoma"/>
                <w:lang w:val="en-CA"/>
              </w:rPr>
              <w:t xml:space="preserve"> (</w:t>
            </w:r>
            <w:r w:rsidR="00B13461" w:rsidRPr="00B13461">
              <w:rPr>
                <w:rFonts w:ascii="Cambria" w:hAnsi="Cambria" w:cs="Tahoma"/>
                <w:b/>
                <w:lang w:val="en-CA"/>
              </w:rPr>
              <w:t>USA</w:t>
            </w:r>
            <w:r w:rsidR="00B13461">
              <w:rPr>
                <w:rFonts w:ascii="Cambria" w:hAnsi="Cambria" w:cs="Tahoma"/>
                <w:lang w:val="en-CA"/>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sidRPr="00CD7B24">
              <w:rPr>
                <w:rFonts w:ascii="Cambria" w:hAnsi="Cambria" w:cs="Tahoma"/>
                <w:color w:val="000000"/>
                <w:lang w:eastAsia="id-ID"/>
              </w:rPr>
              <w:t xml:space="preserve">Auditing </w:t>
            </w:r>
            <w:r>
              <w:rPr>
                <w:rFonts w:ascii="Cambria" w:hAnsi="Cambria" w:cs="Tahoma"/>
                <w:color w:val="000000"/>
                <w:lang w:eastAsia="id-ID"/>
              </w:rPr>
              <w:t>Agriculture and Food Production</w:t>
            </w:r>
            <w:r w:rsidRPr="00CD7B24">
              <w:rPr>
                <w:rFonts w:ascii="Cambria" w:hAnsi="Cambria" w:cs="Tahoma"/>
                <w:color w:val="000000"/>
                <w:lang w:eastAsia="id-ID"/>
              </w:rPr>
              <w:t>: Guidance for SAIs</w:t>
            </w:r>
            <w:r w:rsidR="00B13461">
              <w:rPr>
                <w:rFonts w:ascii="Cambria" w:hAnsi="Cambria" w:cs="Tahoma"/>
                <w:color w:val="000000"/>
                <w:lang w:eastAsia="id-ID"/>
              </w:rPr>
              <w:t xml:space="preserve"> (</w:t>
            </w:r>
            <w:r w:rsidR="00B13461" w:rsidRPr="00B13461">
              <w:rPr>
                <w:rFonts w:ascii="Cambria" w:hAnsi="Cambria" w:cs="Tahoma"/>
                <w:b/>
                <w:color w:val="000000"/>
                <w:lang w:eastAsia="id-ID"/>
              </w:rPr>
              <w:t>Cameroon</w:t>
            </w:r>
            <w:r w:rsidR="00B13461">
              <w:rPr>
                <w:rFonts w:ascii="Cambria" w:hAnsi="Cambria" w:cs="Tahoma"/>
                <w:color w:val="000000"/>
                <w:lang w:eastAsia="id-ID"/>
              </w:rPr>
              <w:t>)</w:t>
            </w:r>
          </w:p>
          <w:p w:rsidR="00D96BAD" w:rsidRPr="00CD7B24" w:rsidRDefault="00D96BAD" w:rsidP="00D96BAD">
            <w:pPr>
              <w:pStyle w:val="tabletext"/>
              <w:numPr>
                <w:ilvl w:val="0"/>
                <w:numId w:val="5"/>
              </w:numPr>
              <w:spacing w:before="0" w:after="0"/>
              <w:ind w:left="210" w:hanging="218"/>
              <w:rPr>
                <w:rFonts w:ascii="Cambria" w:hAnsi="Cambria" w:cs="Arial"/>
                <w:lang w:val="en-CA"/>
              </w:rPr>
            </w:pPr>
            <w:r w:rsidRPr="00CD7B24">
              <w:rPr>
                <w:rFonts w:ascii="Cambria" w:hAnsi="Cambria" w:cs="Tahoma"/>
                <w:color w:val="000000"/>
                <w:lang w:eastAsia="id-ID"/>
              </w:rPr>
              <w:t>Auditing Land organization and soil quality management</w:t>
            </w:r>
            <w:r w:rsidRPr="00CD7B24">
              <w:rPr>
                <w:rFonts w:ascii="Cambria" w:hAnsi="Cambria" w:cs="Tahoma"/>
                <w:color w:val="000000"/>
                <w:lang w:val="id-ID" w:eastAsia="id-ID"/>
              </w:rPr>
              <w:t xml:space="preserve"> - </w:t>
            </w:r>
            <w:r>
              <w:rPr>
                <w:rFonts w:ascii="Cambria" w:hAnsi="Cambria" w:cs="Tahoma"/>
                <w:color w:val="000000"/>
                <w:lang w:eastAsia="id-ID"/>
              </w:rPr>
              <w:t>Combating desertification</w:t>
            </w:r>
            <w:r w:rsidRPr="00CD7B24">
              <w:rPr>
                <w:rFonts w:ascii="Cambria" w:hAnsi="Cambria" w:cs="Tahoma"/>
                <w:color w:val="000000"/>
                <w:lang w:eastAsia="id-ID"/>
              </w:rPr>
              <w:t>: Guidance for SAIs</w:t>
            </w:r>
            <w:r w:rsidR="00B13461">
              <w:rPr>
                <w:rFonts w:ascii="Cambria" w:hAnsi="Cambria" w:cs="Tahoma"/>
                <w:color w:val="000000"/>
                <w:lang w:eastAsia="id-ID"/>
              </w:rPr>
              <w:t xml:space="preserve"> (</w:t>
            </w:r>
            <w:r w:rsidR="00B13461" w:rsidRPr="00B13461">
              <w:rPr>
                <w:rFonts w:ascii="Cambria" w:hAnsi="Cambria" w:cs="Tahoma"/>
                <w:b/>
                <w:color w:val="000000"/>
                <w:lang w:eastAsia="id-ID"/>
              </w:rPr>
              <w:t>Pakistan</w:t>
            </w:r>
            <w:r w:rsidR="00B13461">
              <w:rPr>
                <w:rFonts w:ascii="Cambria" w:hAnsi="Cambria" w:cs="Tahoma"/>
                <w:color w:val="000000"/>
                <w:lang w:eastAsia="id-ID"/>
              </w:rPr>
              <w:t>)</w:t>
            </w:r>
          </w:p>
          <w:p w:rsidR="00FB5BA4" w:rsidRPr="00345D40" w:rsidRDefault="00D96BAD" w:rsidP="00D96BAD">
            <w:pPr>
              <w:pStyle w:val="tabletext"/>
              <w:numPr>
                <w:ilvl w:val="0"/>
                <w:numId w:val="5"/>
              </w:numPr>
              <w:spacing w:before="0" w:after="0"/>
              <w:ind w:left="210" w:hanging="218"/>
              <w:rPr>
                <w:rFonts w:ascii="Cambria" w:hAnsi="Cambria"/>
              </w:rPr>
            </w:pPr>
            <w:r w:rsidRPr="00D96BAD">
              <w:rPr>
                <w:rFonts w:ascii="Cambria" w:hAnsi="Cambria" w:cs="Tahoma"/>
                <w:color w:val="000000"/>
                <w:lang w:eastAsia="id-ID"/>
              </w:rPr>
              <w:t>Delivering</w:t>
            </w:r>
            <w:r w:rsidRPr="00CD7B24">
              <w:rPr>
                <w:rFonts w:ascii="Cambria" w:hAnsi="Cambria"/>
                <w:lang w:val="id-ID"/>
              </w:rPr>
              <w:t xml:space="preserve"> the 2030 Agenda (Sustainable Development Goals) through Environmental Auditing</w:t>
            </w:r>
            <w:r w:rsidR="00B13461">
              <w:rPr>
                <w:rFonts w:ascii="Cambria" w:hAnsi="Cambria"/>
              </w:rPr>
              <w:t xml:space="preserve"> (</w:t>
            </w:r>
            <w:r w:rsidR="00B13461" w:rsidRPr="00B13461">
              <w:rPr>
                <w:rFonts w:ascii="Cambria" w:hAnsi="Cambria"/>
                <w:b/>
              </w:rPr>
              <w:t>Brazil, Canada, Indonesia</w:t>
            </w:r>
            <w:r w:rsidR="00B13461">
              <w:rPr>
                <w:rFonts w:ascii="Cambria" w:hAnsi="Cambria"/>
              </w:rPr>
              <w:t>)</w:t>
            </w:r>
          </w:p>
        </w:tc>
        <w:tc>
          <w:tcPr>
            <w:tcW w:w="5580" w:type="dxa"/>
            <w:shd w:val="clear" w:color="auto" w:fill="70AD47" w:themeFill="accent6"/>
            <w:vAlign w:val="center"/>
          </w:tcPr>
          <w:p w:rsidR="004867C6" w:rsidRPr="0099652A" w:rsidRDefault="004867C6" w:rsidP="0099652A">
            <w:pPr>
              <w:pStyle w:val="tabletext"/>
              <w:numPr>
                <w:ilvl w:val="0"/>
                <w:numId w:val="5"/>
              </w:numPr>
              <w:rPr>
                <w:rFonts w:ascii="Cambria" w:hAnsi="Cambria" w:cs="Arial"/>
                <w:b/>
              </w:rPr>
            </w:pPr>
            <w:r w:rsidRPr="0099652A">
              <w:rPr>
                <w:rFonts w:ascii="Cambria" w:hAnsi="Cambria" w:cs="Arial"/>
                <w:b/>
              </w:rPr>
              <w:t>April 2017</w:t>
            </w:r>
          </w:p>
          <w:p w:rsidR="004867C6" w:rsidRPr="0099652A" w:rsidRDefault="004867C6" w:rsidP="0099652A">
            <w:pPr>
              <w:pStyle w:val="tabletext"/>
              <w:ind w:left="720"/>
              <w:rPr>
                <w:rFonts w:ascii="Cambria" w:hAnsi="Cambria" w:cs="Arial"/>
              </w:rPr>
            </w:pPr>
            <w:r w:rsidRPr="0099652A">
              <w:rPr>
                <w:rFonts w:ascii="Cambria" w:hAnsi="Cambria" w:cs="Arial"/>
              </w:rPr>
              <w:t>Submission of project plan to Secretariat</w:t>
            </w:r>
          </w:p>
          <w:p w:rsidR="004867C6" w:rsidRPr="0099652A" w:rsidRDefault="004867C6" w:rsidP="0099652A">
            <w:pPr>
              <w:pStyle w:val="tabletext"/>
              <w:numPr>
                <w:ilvl w:val="0"/>
                <w:numId w:val="5"/>
              </w:numPr>
              <w:rPr>
                <w:rFonts w:ascii="Cambria" w:hAnsi="Cambria" w:cs="Arial"/>
              </w:rPr>
            </w:pPr>
            <w:r w:rsidRPr="0099652A">
              <w:rPr>
                <w:rFonts w:ascii="Cambria" w:hAnsi="Cambria" w:cs="Arial"/>
                <w:b/>
                <w:lang w:val="id-ID"/>
              </w:rPr>
              <w:t>Sept 2017</w:t>
            </w:r>
          </w:p>
          <w:p w:rsidR="004867C6" w:rsidRPr="0099652A" w:rsidRDefault="004867C6" w:rsidP="0099652A">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w:t>
            </w:r>
            <w:r w:rsidRPr="0099652A">
              <w:rPr>
                <w:rFonts w:ascii="Cambria" w:hAnsi="Cambria" w:cs="Arial"/>
                <w:lang w:val="id-ID"/>
              </w:rPr>
              <w:t xml:space="preserve"> project plan</w:t>
            </w:r>
            <w:r w:rsidRPr="0099652A">
              <w:rPr>
                <w:rFonts w:ascii="Cambria" w:hAnsi="Cambria" w:cs="Arial"/>
              </w:rPr>
              <w:t xml:space="preserve"> by SC Members at WGEA SC Meeting</w:t>
            </w:r>
          </w:p>
          <w:p w:rsidR="004867C6" w:rsidRPr="0099652A" w:rsidRDefault="004867C6" w:rsidP="0099652A">
            <w:pPr>
              <w:pStyle w:val="tabletext"/>
              <w:numPr>
                <w:ilvl w:val="0"/>
                <w:numId w:val="5"/>
              </w:numPr>
              <w:rPr>
                <w:rFonts w:ascii="Cambria" w:hAnsi="Cambria" w:cs="Arial"/>
                <w:b/>
              </w:rPr>
            </w:pPr>
            <w:r w:rsidRPr="0099652A">
              <w:rPr>
                <w:rFonts w:ascii="Cambria" w:hAnsi="Cambria" w:cs="Arial"/>
                <w:b/>
                <w:lang w:val="id-ID"/>
              </w:rPr>
              <w:t>Des 2017</w:t>
            </w:r>
          </w:p>
          <w:p w:rsidR="004867C6" w:rsidRPr="0099652A" w:rsidRDefault="004867C6" w:rsidP="0099652A">
            <w:pPr>
              <w:pStyle w:val="tabletext"/>
              <w:ind w:left="720"/>
              <w:rPr>
                <w:rFonts w:ascii="Cambria" w:hAnsi="Cambria" w:cs="Arial"/>
              </w:rPr>
            </w:pPr>
            <w:r w:rsidRPr="0099652A">
              <w:rPr>
                <w:rFonts w:ascii="Cambria" w:hAnsi="Cambria" w:cs="Arial"/>
              </w:rPr>
              <w:t>Elaborated table of contents to be submitted to Secretariat</w:t>
            </w:r>
          </w:p>
          <w:p w:rsidR="0099652A" w:rsidRPr="0099652A" w:rsidRDefault="0099652A" w:rsidP="0099652A">
            <w:pPr>
              <w:pStyle w:val="tabletext"/>
              <w:numPr>
                <w:ilvl w:val="0"/>
                <w:numId w:val="5"/>
              </w:numPr>
              <w:rPr>
                <w:rFonts w:ascii="Cambria" w:hAnsi="Cambria" w:cs="Arial"/>
                <w:b/>
              </w:rPr>
            </w:pPr>
            <w:r w:rsidRPr="0099652A">
              <w:rPr>
                <w:rFonts w:ascii="Cambria" w:hAnsi="Cambria" w:cs="Arial"/>
                <w:b/>
                <w:lang w:val="id-ID"/>
              </w:rPr>
              <w:t>Nov 2018</w:t>
            </w:r>
          </w:p>
          <w:p w:rsidR="0099652A" w:rsidRPr="0099652A" w:rsidRDefault="0099652A" w:rsidP="0099652A">
            <w:pPr>
              <w:pStyle w:val="tabletext"/>
              <w:ind w:left="720"/>
              <w:rPr>
                <w:rFonts w:ascii="Cambria" w:hAnsi="Cambria" w:cs="Arial"/>
              </w:rPr>
            </w:pPr>
            <w:r w:rsidRPr="0099652A">
              <w:rPr>
                <w:rFonts w:ascii="Cambria" w:hAnsi="Cambria" w:cs="Arial"/>
              </w:rPr>
              <w:t>F</w:t>
            </w:r>
            <w:r w:rsidRPr="0099652A">
              <w:rPr>
                <w:rFonts w:ascii="Cambria" w:hAnsi="Cambria" w:cs="Arial"/>
                <w:lang w:val="id-ID"/>
              </w:rPr>
              <w:t xml:space="preserve">inal </w:t>
            </w:r>
            <w:r w:rsidRPr="0099652A">
              <w:rPr>
                <w:rFonts w:ascii="Cambria" w:hAnsi="Cambria" w:cs="Arial"/>
              </w:rPr>
              <w:t>draft to be approved by SC Members at WGEA SC Meeting</w:t>
            </w:r>
          </w:p>
          <w:p w:rsidR="0099652A" w:rsidRPr="0099652A" w:rsidRDefault="0099652A" w:rsidP="0099652A">
            <w:pPr>
              <w:pStyle w:val="tabletext"/>
              <w:numPr>
                <w:ilvl w:val="0"/>
                <w:numId w:val="5"/>
              </w:numPr>
              <w:rPr>
                <w:rFonts w:ascii="Cambria" w:hAnsi="Cambria" w:cs="Arial"/>
                <w:b/>
              </w:rPr>
            </w:pPr>
            <w:r w:rsidRPr="0099652A">
              <w:rPr>
                <w:rFonts w:ascii="Cambria" w:hAnsi="Cambria" w:cs="Arial"/>
                <w:b/>
              </w:rPr>
              <w:t>Mid 2018</w:t>
            </w:r>
          </w:p>
          <w:p w:rsidR="004867C6" w:rsidRPr="0099652A" w:rsidRDefault="004867C6" w:rsidP="0099652A">
            <w:pPr>
              <w:pStyle w:val="tabletext"/>
              <w:ind w:left="720"/>
              <w:rPr>
                <w:rFonts w:ascii="Cambria" w:hAnsi="Cambria" w:cs="Arial"/>
              </w:rPr>
            </w:pPr>
            <w:r w:rsidRPr="0099652A">
              <w:rPr>
                <w:rFonts w:ascii="Cambria" w:hAnsi="Cambria" w:cs="Arial"/>
              </w:rPr>
              <w:t xml:space="preserve">Presentation of draft projects by project leaders at WGEA </w:t>
            </w:r>
            <w:r w:rsidRPr="0099652A">
              <w:rPr>
                <w:rFonts w:ascii="Cambria" w:hAnsi="Cambria" w:cs="Arial"/>
                <w:lang w:val="id-ID"/>
              </w:rPr>
              <w:t xml:space="preserve">Assembly </w:t>
            </w:r>
            <w:r w:rsidRPr="0099652A">
              <w:rPr>
                <w:rFonts w:ascii="Cambria" w:hAnsi="Cambria" w:cs="Arial"/>
              </w:rPr>
              <w:t>M</w:t>
            </w:r>
            <w:r w:rsidRPr="0099652A">
              <w:rPr>
                <w:rFonts w:ascii="Cambria" w:hAnsi="Cambria" w:cs="Arial"/>
                <w:lang w:val="id-ID"/>
              </w:rPr>
              <w:t>eeting</w:t>
            </w:r>
          </w:p>
          <w:p w:rsidR="0099652A" w:rsidRPr="0099652A" w:rsidRDefault="0099652A" w:rsidP="0099652A">
            <w:pPr>
              <w:pStyle w:val="tabletext"/>
              <w:numPr>
                <w:ilvl w:val="0"/>
                <w:numId w:val="5"/>
              </w:numPr>
              <w:rPr>
                <w:rFonts w:ascii="Cambria" w:hAnsi="Cambria" w:cs="Arial"/>
                <w:b/>
              </w:rPr>
            </w:pPr>
            <w:r w:rsidRPr="0099652A">
              <w:rPr>
                <w:rFonts w:ascii="Cambria" w:hAnsi="Cambria" w:cs="Arial"/>
                <w:b/>
                <w:lang w:val="id-ID"/>
              </w:rPr>
              <w:t>Sept 2019</w:t>
            </w:r>
          </w:p>
          <w:p w:rsidR="0099652A" w:rsidRPr="0099652A" w:rsidRDefault="0099652A" w:rsidP="0099652A">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 project output at WGEA Assembly Meeting</w:t>
            </w:r>
          </w:p>
          <w:p w:rsidR="00FB5BA4" w:rsidRPr="00CD7B24" w:rsidRDefault="00FB5BA4" w:rsidP="0099652A">
            <w:pPr>
              <w:pStyle w:val="tabletext"/>
              <w:spacing w:before="0" w:after="0"/>
              <w:ind w:left="720"/>
              <w:rPr>
                <w:rFonts w:ascii="Cambria" w:hAnsi="Cambria" w:cs="Arial"/>
                <w:lang w:val="en-CA"/>
              </w:rPr>
            </w:pPr>
          </w:p>
        </w:tc>
      </w:tr>
      <w:tr w:rsidR="00FB5BA4" w:rsidRPr="00345D40" w:rsidTr="00B13461">
        <w:trPr>
          <w:trHeight w:val="1516"/>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Pr="00CD7B24" w:rsidRDefault="00FB5BA4" w:rsidP="005A2C2F">
            <w:pPr>
              <w:spacing w:after="120" w:line="240" w:lineRule="auto"/>
              <w:jc w:val="both"/>
              <w:rPr>
                <w:rFonts w:ascii="Cambria" w:hAnsi="Cambria" w:cs="Arial"/>
              </w:rPr>
            </w:pPr>
            <w:r>
              <w:rPr>
                <w:rFonts w:ascii="Cambria" w:hAnsi="Cambria" w:cs="Arial"/>
              </w:rPr>
              <w:t xml:space="preserve">Preparing research projects: </w:t>
            </w:r>
            <w:r w:rsidRPr="00CD7B24">
              <w:rPr>
                <w:rFonts w:ascii="Cambria" w:hAnsi="Cambria" w:cs="Arial"/>
              </w:rPr>
              <w:t>Under “research project”</w:t>
            </w:r>
            <w:r>
              <w:rPr>
                <w:rFonts w:ascii="Cambria" w:hAnsi="Cambria" w:cs="Arial"/>
              </w:rPr>
              <w:t>, WGEA exposes a</w:t>
            </w:r>
            <w:r w:rsidRPr="00CD7B24">
              <w:rPr>
                <w:rFonts w:ascii="Cambria" w:hAnsi="Cambria" w:cs="Arial"/>
              </w:rPr>
              <w:t xml:space="preserve"> relatively short study with a suggested length of 20-30 pages including:</w:t>
            </w:r>
          </w:p>
          <w:p w:rsidR="00FB5BA4" w:rsidRPr="00CD7B24" w:rsidRDefault="00FB5BA4" w:rsidP="00B13461">
            <w:pPr>
              <w:numPr>
                <w:ilvl w:val="0"/>
                <w:numId w:val="2"/>
              </w:numPr>
              <w:spacing w:after="0" w:line="240" w:lineRule="auto"/>
              <w:ind w:left="399"/>
              <w:rPr>
                <w:rFonts w:ascii="Cambria" w:hAnsi="Cambria" w:cs="Arial"/>
              </w:rPr>
            </w:pPr>
            <w:r w:rsidRPr="00CD7B24">
              <w:rPr>
                <w:rFonts w:ascii="Cambria" w:hAnsi="Cambria" w:cs="Arial"/>
              </w:rPr>
              <w:t>introducing the relevance of the topic and giving general aspects of the topic;</w:t>
            </w:r>
          </w:p>
          <w:p w:rsidR="00FB5BA4" w:rsidRPr="00CD7B24" w:rsidRDefault="00FB5BA4" w:rsidP="00B13461">
            <w:pPr>
              <w:numPr>
                <w:ilvl w:val="0"/>
                <w:numId w:val="2"/>
              </w:numPr>
              <w:spacing w:after="0" w:line="240" w:lineRule="auto"/>
              <w:ind w:left="399"/>
              <w:rPr>
                <w:rFonts w:ascii="Cambria" w:hAnsi="Cambria" w:cs="Arial"/>
              </w:rPr>
            </w:pPr>
            <w:r w:rsidRPr="00CD7B24">
              <w:rPr>
                <w:rFonts w:ascii="Cambria" w:hAnsi="Cambria" w:cs="Arial"/>
              </w:rPr>
              <w:t xml:space="preserve">giving hints to best practice governance, resources etc; </w:t>
            </w:r>
          </w:p>
          <w:p w:rsidR="00FB5BA4" w:rsidRPr="00F86385" w:rsidRDefault="00FB5BA4" w:rsidP="00B13461">
            <w:pPr>
              <w:numPr>
                <w:ilvl w:val="0"/>
                <w:numId w:val="2"/>
              </w:numPr>
              <w:spacing w:after="120" w:line="240" w:lineRule="auto"/>
              <w:ind w:left="399"/>
              <w:rPr>
                <w:rFonts w:ascii="Cambria" w:hAnsi="Cambria" w:cs="Arial"/>
              </w:rPr>
            </w:pPr>
            <w:r w:rsidRPr="00CD7B24">
              <w:rPr>
                <w:rFonts w:ascii="Cambria" w:hAnsi="Cambria" w:cs="Arial"/>
              </w:rPr>
              <w:t>sharing the audit related work done in the respective field.</w:t>
            </w:r>
          </w:p>
          <w:p w:rsidR="00FB5BA4" w:rsidRPr="00CD7B24" w:rsidRDefault="00FB5BA4" w:rsidP="00F86385">
            <w:pPr>
              <w:spacing w:after="120" w:line="240" w:lineRule="auto"/>
              <w:jc w:val="both"/>
              <w:rPr>
                <w:rFonts w:ascii="Cambria" w:hAnsi="Cambria" w:cs="Arial"/>
              </w:rPr>
            </w:pPr>
          </w:p>
        </w:tc>
        <w:tc>
          <w:tcPr>
            <w:tcW w:w="3870" w:type="dxa"/>
            <w:shd w:val="clear" w:color="auto" w:fill="auto"/>
            <w:vAlign w:val="center"/>
          </w:tcPr>
          <w:p w:rsidR="00D96BAD" w:rsidRPr="00CD7B24" w:rsidRDefault="00FB5BA4" w:rsidP="00D96BAD">
            <w:pPr>
              <w:jc w:val="both"/>
              <w:rPr>
                <w:rFonts w:ascii="Cambria" w:hAnsi="Cambria" w:cs="Arial"/>
                <w:lang w:val="en-CA"/>
              </w:rPr>
            </w:pPr>
            <w:r>
              <w:rPr>
                <w:rFonts w:ascii="Cambria" w:hAnsi="Cambria"/>
              </w:rPr>
              <w:t>4 (four) published documents on the pl</w:t>
            </w:r>
            <w:r w:rsidR="00D96BAD">
              <w:rPr>
                <w:rFonts w:ascii="Cambria" w:hAnsi="Cambria"/>
              </w:rPr>
              <w:t>anned research projects by 2019</w:t>
            </w:r>
            <w:r w:rsidR="00D96BAD" w:rsidRPr="00CD7B24">
              <w:rPr>
                <w:rFonts w:ascii="Cambria" w:hAnsi="Cambria" w:cs="Arial"/>
                <w:lang w:val="en-CA"/>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Visibility on Environmental Auditing (Communication)</w:t>
            </w:r>
            <w:r w:rsidR="00B13461">
              <w:rPr>
                <w:rFonts w:ascii="Cambria" w:hAnsi="Cambria" w:cs="Arial"/>
              </w:rPr>
              <w:t xml:space="preserve"> (</w:t>
            </w:r>
            <w:r w:rsidR="00B13461" w:rsidRPr="00B13461">
              <w:rPr>
                <w:rFonts w:ascii="Cambria" w:hAnsi="Cambria" w:cs="Arial"/>
                <w:b/>
              </w:rPr>
              <w:t>ECA</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Environmental Health (focus on Air Pollution)</w:t>
            </w:r>
            <w:r w:rsidR="00B13461">
              <w:rPr>
                <w:rFonts w:ascii="Cambria" w:hAnsi="Cambria" w:cs="Arial"/>
              </w:rPr>
              <w:t xml:space="preserve"> (</w:t>
            </w:r>
            <w:r w:rsidR="00B13461" w:rsidRPr="00B13461">
              <w:rPr>
                <w:rFonts w:ascii="Cambria" w:hAnsi="Cambria" w:cs="Arial"/>
                <w:b/>
              </w:rPr>
              <w:t>Philippines</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Greening Cities</w:t>
            </w:r>
            <w:r w:rsidR="00B13461">
              <w:rPr>
                <w:rFonts w:ascii="Cambria" w:hAnsi="Cambria" w:cs="Arial"/>
              </w:rPr>
              <w:t xml:space="preserve"> (</w:t>
            </w:r>
            <w:r w:rsidR="00B13461" w:rsidRPr="00B13461">
              <w:rPr>
                <w:rFonts w:ascii="Cambria" w:hAnsi="Cambria" w:cs="Arial"/>
                <w:b/>
              </w:rPr>
              <w:t>Czech Rep.</w:t>
            </w:r>
            <w:r w:rsidR="00B13461">
              <w:rPr>
                <w:rFonts w:ascii="Cambria" w:hAnsi="Cambria" w:cs="Arial"/>
              </w:rPr>
              <w:t>)</w:t>
            </w:r>
          </w:p>
          <w:p w:rsidR="00D96BAD" w:rsidRPr="00CD7B24" w:rsidRDefault="00D96BAD" w:rsidP="00D96BAD">
            <w:pPr>
              <w:pStyle w:val="tabletext"/>
              <w:numPr>
                <w:ilvl w:val="0"/>
                <w:numId w:val="3"/>
              </w:numPr>
              <w:spacing w:before="0" w:after="0"/>
              <w:ind w:left="210" w:hanging="210"/>
              <w:rPr>
                <w:rFonts w:ascii="Cambria" w:hAnsi="Cambria" w:cs="Arial"/>
                <w:lang w:val="en-CA"/>
              </w:rPr>
            </w:pPr>
            <w:r w:rsidRPr="00CD7B24">
              <w:rPr>
                <w:rFonts w:ascii="Cambria" w:hAnsi="Cambria" w:cs="Arial"/>
                <w:lang w:val="id-ID"/>
              </w:rPr>
              <w:t>Water Sanitation (Waste Water)</w:t>
            </w:r>
            <w:r w:rsidR="00B13461">
              <w:rPr>
                <w:rFonts w:ascii="Cambria" w:hAnsi="Cambria" w:cs="Arial"/>
              </w:rPr>
              <w:t xml:space="preserve"> (</w:t>
            </w:r>
            <w:r w:rsidR="00B13461" w:rsidRPr="00B13461">
              <w:rPr>
                <w:rFonts w:ascii="Cambria" w:hAnsi="Cambria" w:cs="Arial"/>
                <w:b/>
              </w:rPr>
              <w:t>Morocco</w:t>
            </w:r>
            <w:r w:rsidR="00B13461">
              <w:rPr>
                <w:rFonts w:ascii="Cambria" w:hAnsi="Cambria" w:cs="Arial"/>
              </w:rPr>
              <w:t>)</w:t>
            </w:r>
          </w:p>
          <w:p w:rsidR="00FB5BA4" w:rsidRDefault="00FB5BA4" w:rsidP="005A2C2F">
            <w:pPr>
              <w:rPr>
                <w:rFonts w:ascii="Cambria" w:hAnsi="Cambria"/>
              </w:rPr>
            </w:pPr>
          </w:p>
        </w:tc>
        <w:tc>
          <w:tcPr>
            <w:tcW w:w="5580" w:type="dxa"/>
            <w:shd w:val="clear" w:color="auto" w:fill="70AD47" w:themeFill="accent6"/>
            <w:vAlign w:val="center"/>
          </w:tcPr>
          <w:p w:rsidR="00B13461" w:rsidRPr="0099652A" w:rsidRDefault="00B13461" w:rsidP="00B13461">
            <w:pPr>
              <w:pStyle w:val="tabletext"/>
              <w:numPr>
                <w:ilvl w:val="0"/>
                <w:numId w:val="5"/>
              </w:numPr>
              <w:rPr>
                <w:rFonts w:ascii="Cambria" w:hAnsi="Cambria" w:cs="Arial"/>
                <w:b/>
              </w:rPr>
            </w:pPr>
            <w:r w:rsidRPr="0099652A">
              <w:rPr>
                <w:rFonts w:ascii="Cambria" w:hAnsi="Cambria" w:cs="Arial"/>
                <w:b/>
              </w:rPr>
              <w:t>April 2017</w:t>
            </w:r>
          </w:p>
          <w:p w:rsidR="00B13461" w:rsidRPr="0099652A" w:rsidRDefault="00B13461" w:rsidP="00B13461">
            <w:pPr>
              <w:pStyle w:val="tabletext"/>
              <w:ind w:left="720"/>
              <w:rPr>
                <w:rFonts w:ascii="Cambria" w:hAnsi="Cambria" w:cs="Arial"/>
              </w:rPr>
            </w:pPr>
            <w:r w:rsidRPr="0099652A">
              <w:rPr>
                <w:rFonts w:ascii="Cambria" w:hAnsi="Cambria" w:cs="Arial"/>
              </w:rPr>
              <w:t>Submission of project plan to Secretariat</w:t>
            </w:r>
          </w:p>
          <w:p w:rsidR="00B13461" w:rsidRPr="0099652A" w:rsidRDefault="00B13461" w:rsidP="00B13461">
            <w:pPr>
              <w:pStyle w:val="tabletext"/>
              <w:numPr>
                <w:ilvl w:val="0"/>
                <w:numId w:val="5"/>
              </w:numPr>
              <w:rPr>
                <w:rFonts w:ascii="Cambria" w:hAnsi="Cambria" w:cs="Arial"/>
              </w:rPr>
            </w:pPr>
            <w:r w:rsidRPr="0099652A">
              <w:rPr>
                <w:rFonts w:ascii="Cambria" w:hAnsi="Cambria" w:cs="Arial"/>
                <w:b/>
                <w:lang w:val="id-ID"/>
              </w:rPr>
              <w:t>Sept 2017</w:t>
            </w:r>
          </w:p>
          <w:p w:rsidR="00B13461" w:rsidRPr="0099652A" w:rsidRDefault="00B13461" w:rsidP="00B13461">
            <w:pPr>
              <w:pStyle w:val="tabletext"/>
              <w:ind w:left="720"/>
              <w:rPr>
                <w:rFonts w:ascii="Cambria" w:hAnsi="Cambria" w:cs="Arial"/>
              </w:rPr>
            </w:pPr>
            <w:r w:rsidRPr="0099652A">
              <w:rPr>
                <w:rFonts w:ascii="Cambria" w:hAnsi="Cambria" w:cs="Arial"/>
                <w:lang w:val="id-ID"/>
              </w:rPr>
              <w:t>Approval</w:t>
            </w:r>
            <w:r w:rsidRPr="0099652A">
              <w:rPr>
                <w:rFonts w:ascii="Cambria" w:hAnsi="Cambria" w:cs="Arial"/>
              </w:rPr>
              <w:t xml:space="preserve"> of</w:t>
            </w:r>
            <w:r w:rsidRPr="0099652A">
              <w:rPr>
                <w:rFonts w:ascii="Cambria" w:hAnsi="Cambria" w:cs="Arial"/>
                <w:lang w:val="id-ID"/>
              </w:rPr>
              <w:t xml:space="preserve"> project plan</w:t>
            </w:r>
            <w:r w:rsidRPr="0099652A">
              <w:rPr>
                <w:rFonts w:ascii="Cambria" w:hAnsi="Cambria" w:cs="Arial"/>
              </w:rPr>
              <w:t xml:space="preserve"> by SC Members at WGEA SC Meeting</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t>Des 2017</w:t>
            </w:r>
          </w:p>
          <w:p w:rsidR="00B13461" w:rsidRPr="0099652A" w:rsidRDefault="00B13461" w:rsidP="00B13461">
            <w:pPr>
              <w:pStyle w:val="tabletext"/>
              <w:ind w:left="720"/>
              <w:rPr>
                <w:rFonts w:ascii="Cambria" w:hAnsi="Cambria" w:cs="Arial"/>
              </w:rPr>
            </w:pPr>
            <w:r w:rsidRPr="0099652A">
              <w:rPr>
                <w:rFonts w:ascii="Cambria" w:hAnsi="Cambria" w:cs="Arial"/>
              </w:rPr>
              <w:t>Elaborated table of contents to be submitted to Secretariat</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t>Nov 2018</w:t>
            </w:r>
          </w:p>
          <w:p w:rsidR="00B13461" w:rsidRPr="0099652A" w:rsidRDefault="00B13461" w:rsidP="00B13461">
            <w:pPr>
              <w:pStyle w:val="tabletext"/>
              <w:ind w:left="720"/>
              <w:rPr>
                <w:rFonts w:ascii="Cambria" w:hAnsi="Cambria" w:cs="Arial"/>
              </w:rPr>
            </w:pPr>
            <w:r w:rsidRPr="0099652A">
              <w:rPr>
                <w:rFonts w:ascii="Cambria" w:hAnsi="Cambria" w:cs="Arial"/>
              </w:rPr>
              <w:t>F</w:t>
            </w:r>
            <w:r w:rsidRPr="0099652A">
              <w:rPr>
                <w:rFonts w:ascii="Cambria" w:hAnsi="Cambria" w:cs="Arial"/>
                <w:lang w:val="id-ID"/>
              </w:rPr>
              <w:t xml:space="preserve">inal </w:t>
            </w:r>
            <w:r w:rsidRPr="0099652A">
              <w:rPr>
                <w:rFonts w:ascii="Cambria" w:hAnsi="Cambria" w:cs="Arial"/>
              </w:rPr>
              <w:t>draft to be approved by SC Members at WGEA SC Meeting</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rPr>
              <w:t>Mid 2018</w:t>
            </w:r>
          </w:p>
          <w:p w:rsidR="00B13461" w:rsidRPr="0099652A" w:rsidRDefault="00B13461" w:rsidP="00B13461">
            <w:pPr>
              <w:pStyle w:val="tabletext"/>
              <w:ind w:left="720"/>
              <w:rPr>
                <w:rFonts w:ascii="Cambria" w:hAnsi="Cambria" w:cs="Arial"/>
              </w:rPr>
            </w:pPr>
            <w:r w:rsidRPr="0099652A">
              <w:rPr>
                <w:rFonts w:ascii="Cambria" w:hAnsi="Cambria" w:cs="Arial"/>
              </w:rPr>
              <w:lastRenderedPageBreak/>
              <w:t xml:space="preserve">Presentation of draft projects by project leaders at WGEA </w:t>
            </w:r>
            <w:r w:rsidRPr="0099652A">
              <w:rPr>
                <w:rFonts w:ascii="Cambria" w:hAnsi="Cambria" w:cs="Arial"/>
                <w:lang w:val="id-ID"/>
              </w:rPr>
              <w:t xml:space="preserve">Assembly </w:t>
            </w:r>
            <w:r w:rsidRPr="0099652A">
              <w:rPr>
                <w:rFonts w:ascii="Cambria" w:hAnsi="Cambria" w:cs="Arial"/>
              </w:rPr>
              <w:t>M</w:t>
            </w:r>
            <w:r w:rsidRPr="0099652A">
              <w:rPr>
                <w:rFonts w:ascii="Cambria" w:hAnsi="Cambria" w:cs="Arial"/>
                <w:lang w:val="id-ID"/>
              </w:rPr>
              <w:t>eeting</w:t>
            </w:r>
          </w:p>
          <w:p w:rsidR="00B13461" w:rsidRPr="0099652A" w:rsidRDefault="00B13461" w:rsidP="00B13461">
            <w:pPr>
              <w:pStyle w:val="tabletext"/>
              <w:numPr>
                <w:ilvl w:val="0"/>
                <w:numId w:val="5"/>
              </w:numPr>
              <w:rPr>
                <w:rFonts w:ascii="Cambria" w:hAnsi="Cambria" w:cs="Arial"/>
                <w:b/>
              </w:rPr>
            </w:pPr>
            <w:r w:rsidRPr="0099652A">
              <w:rPr>
                <w:rFonts w:ascii="Cambria" w:hAnsi="Cambria" w:cs="Arial"/>
                <w:b/>
                <w:lang w:val="id-ID"/>
              </w:rPr>
              <w:t>Sept 2019</w:t>
            </w:r>
          </w:p>
          <w:p w:rsidR="00FB5BA4" w:rsidRPr="00CD7B24" w:rsidRDefault="00B13461" w:rsidP="00B13461">
            <w:pPr>
              <w:pStyle w:val="tabletext"/>
              <w:ind w:left="720"/>
              <w:rPr>
                <w:rFonts w:ascii="Cambria" w:hAnsi="Cambria" w:cs="Arial"/>
                <w:lang w:val="en-CA"/>
              </w:rPr>
            </w:pPr>
            <w:r w:rsidRPr="0099652A">
              <w:rPr>
                <w:rFonts w:ascii="Cambria" w:hAnsi="Cambria" w:cs="Arial"/>
                <w:lang w:val="id-ID"/>
              </w:rPr>
              <w:t>Approval</w:t>
            </w:r>
            <w:r w:rsidRPr="0099652A">
              <w:rPr>
                <w:rFonts w:ascii="Cambria" w:hAnsi="Cambria" w:cs="Arial"/>
              </w:rPr>
              <w:t xml:space="preserve"> of project output at WGEA Assembly Meeting</w:t>
            </w:r>
          </w:p>
        </w:tc>
      </w:tr>
      <w:tr w:rsidR="00FB5BA4" w:rsidRPr="00345D40" w:rsidTr="0075214E">
        <w:trPr>
          <w:trHeight w:val="2848"/>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Default="00FB5BA4" w:rsidP="005A2C2F">
            <w:pPr>
              <w:spacing w:after="120" w:line="240" w:lineRule="auto"/>
              <w:jc w:val="both"/>
              <w:rPr>
                <w:rFonts w:ascii="Cambria" w:hAnsi="Cambria" w:cs="Arial"/>
              </w:rPr>
            </w:pPr>
            <w:r>
              <w:rPr>
                <w:rFonts w:ascii="Cambria" w:hAnsi="Cambria" w:cs="Arial"/>
              </w:rPr>
              <w:t xml:space="preserve">Dissemination </w:t>
            </w:r>
            <w:r w:rsidR="00D96BAD">
              <w:rPr>
                <w:rFonts w:ascii="Cambria" w:hAnsi="Cambria" w:cs="Arial"/>
              </w:rPr>
              <w:t xml:space="preserve">of </w:t>
            </w:r>
            <w:r>
              <w:rPr>
                <w:rFonts w:ascii="Cambria" w:hAnsi="Cambria" w:cs="Arial"/>
              </w:rPr>
              <w:t xml:space="preserve">knowledge and experiences on environmental audit issues among </w:t>
            </w:r>
            <w:r w:rsidR="00D96BAD">
              <w:rPr>
                <w:rFonts w:ascii="Cambria" w:hAnsi="Cambria" w:cs="Arial"/>
              </w:rPr>
              <w:t xml:space="preserve">WGEA </w:t>
            </w:r>
            <w:r>
              <w:rPr>
                <w:rFonts w:ascii="Cambria" w:hAnsi="Cambria" w:cs="Arial"/>
              </w:rPr>
              <w:t>members</w:t>
            </w:r>
          </w:p>
        </w:tc>
        <w:tc>
          <w:tcPr>
            <w:tcW w:w="3870" w:type="dxa"/>
            <w:shd w:val="clear" w:color="auto" w:fill="auto"/>
            <w:vAlign w:val="center"/>
          </w:tcPr>
          <w:p w:rsidR="00FB5BA4" w:rsidRDefault="00FB5BA4" w:rsidP="005A2C2F">
            <w:pPr>
              <w:pStyle w:val="ListParagraph"/>
              <w:numPr>
                <w:ilvl w:val="0"/>
                <w:numId w:val="12"/>
              </w:numPr>
              <w:ind w:left="451"/>
              <w:rPr>
                <w:rFonts w:ascii="Cambria" w:hAnsi="Cambria"/>
              </w:rPr>
            </w:pPr>
            <w:r>
              <w:rPr>
                <w:rFonts w:ascii="Cambria" w:hAnsi="Cambria"/>
              </w:rPr>
              <w:t>Annual tr</w:t>
            </w:r>
            <w:r w:rsidR="001A0723">
              <w:rPr>
                <w:rFonts w:ascii="Cambria" w:hAnsi="Cambria"/>
              </w:rPr>
              <w:t>aining on Environmental Audit (3</w:t>
            </w:r>
            <w:r>
              <w:rPr>
                <w:rFonts w:ascii="Cambria" w:hAnsi="Cambria"/>
              </w:rPr>
              <w:t xml:space="preserve"> </w:t>
            </w:r>
            <w:r w:rsidR="00B13461">
              <w:rPr>
                <w:rFonts w:ascii="Cambria" w:hAnsi="Cambria"/>
              </w:rPr>
              <w:t>trainings</w:t>
            </w:r>
            <w:r w:rsidR="001A0723">
              <w:rPr>
                <w:rFonts w:ascii="Cambria" w:hAnsi="Cambria"/>
              </w:rPr>
              <w:t xml:space="preserve"> in 3 years</w:t>
            </w:r>
            <w:r>
              <w:rPr>
                <w:rFonts w:ascii="Cambria" w:hAnsi="Cambria"/>
              </w:rPr>
              <w:t>) to be held in iCED, Jaipur, India</w:t>
            </w:r>
          </w:p>
          <w:p w:rsidR="00FB5BA4" w:rsidRDefault="00FB5BA4" w:rsidP="005A2C2F">
            <w:pPr>
              <w:pStyle w:val="ListParagraph"/>
              <w:numPr>
                <w:ilvl w:val="0"/>
                <w:numId w:val="12"/>
              </w:numPr>
              <w:ind w:left="451"/>
              <w:rPr>
                <w:rFonts w:ascii="Cambria" w:hAnsi="Cambria"/>
              </w:rPr>
            </w:pPr>
            <w:r>
              <w:rPr>
                <w:rFonts w:ascii="Cambria" w:hAnsi="Cambria"/>
              </w:rPr>
              <w:t xml:space="preserve">Annual Forestry Audit Training (3 </w:t>
            </w:r>
            <w:r w:rsidR="001A0723">
              <w:rPr>
                <w:rFonts w:ascii="Cambria" w:hAnsi="Cambria"/>
              </w:rPr>
              <w:t>trainings in 3 years</w:t>
            </w:r>
            <w:r>
              <w:rPr>
                <w:rFonts w:ascii="Cambria" w:hAnsi="Cambria"/>
              </w:rPr>
              <w:t>) to be held in Jakarta</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D96BAD" w:rsidRPr="00942D02">
              <w:rPr>
                <w:lang w:val="id-ID"/>
              </w:rPr>
              <w:t xml:space="preserve">Massively Open Online Course </w:t>
            </w:r>
            <w:r w:rsidR="00D96BAD">
              <w:rPr>
                <w:lang w:val="en-US"/>
              </w:rPr>
              <w:t>(</w:t>
            </w:r>
            <w:r w:rsidR="00FB5BA4">
              <w:rPr>
                <w:rFonts w:ascii="Cambria" w:hAnsi="Cambria"/>
              </w:rPr>
              <w:t>MOOC</w:t>
            </w:r>
            <w:r w:rsidR="00D96BAD">
              <w:rPr>
                <w:rFonts w:ascii="Cambria" w:hAnsi="Cambria"/>
              </w:rPr>
              <w:t>)</w:t>
            </w:r>
            <w:r w:rsidR="00FB5BA4">
              <w:rPr>
                <w:rFonts w:ascii="Cambria" w:hAnsi="Cambria"/>
              </w:rPr>
              <w:t xml:space="preserve"> on </w:t>
            </w:r>
            <w:r>
              <w:rPr>
                <w:rFonts w:ascii="Cambria" w:hAnsi="Cambria"/>
              </w:rPr>
              <w:t>waste management (</w:t>
            </w:r>
            <w:r w:rsidRPr="001A0723">
              <w:rPr>
                <w:rFonts w:ascii="Cambria" w:hAnsi="Cambria"/>
                <w:b/>
              </w:rPr>
              <w:t>Estonia</w:t>
            </w:r>
            <w:r>
              <w:rPr>
                <w:rFonts w:ascii="Cambria" w:hAnsi="Cambria"/>
              </w:rPr>
              <w:t>)</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 xml:space="preserve">Training Tool </w:t>
            </w:r>
            <w:r>
              <w:rPr>
                <w:rFonts w:ascii="Cambria" w:hAnsi="Cambria"/>
              </w:rPr>
              <w:t xml:space="preserve">Kit </w:t>
            </w:r>
            <w:r w:rsidR="00FB5BA4">
              <w:rPr>
                <w:rFonts w:ascii="Cambria" w:hAnsi="Cambria"/>
              </w:rPr>
              <w:t>on Greening SAIs</w:t>
            </w:r>
            <w:r w:rsidR="001A0723">
              <w:rPr>
                <w:rFonts w:ascii="Cambria" w:hAnsi="Cambria"/>
              </w:rPr>
              <w:t xml:space="preserve"> (</w:t>
            </w:r>
            <w:r w:rsidR="001A0723" w:rsidRPr="001A0723">
              <w:rPr>
                <w:rFonts w:ascii="Cambria" w:hAnsi="Cambria"/>
                <w:b/>
              </w:rPr>
              <w:t>ECA</w:t>
            </w:r>
            <w:r w:rsidR="001A0723">
              <w:rPr>
                <w:rFonts w:ascii="Cambria" w:hAnsi="Cambria"/>
              </w:rPr>
              <w:t>)</w:t>
            </w:r>
          </w:p>
          <w:p w:rsidR="00FB5BA4" w:rsidRDefault="00B13461"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 xml:space="preserve">Training Tool </w:t>
            </w:r>
            <w:r w:rsidR="001A0723">
              <w:rPr>
                <w:rFonts w:ascii="Cambria" w:hAnsi="Cambria"/>
              </w:rPr>
              <w:t xml:space="preserve">Kit </w:t>
            </w:r>
            <w:r w:rsidR="00FB5BA4">
              <w:rPr>
                <w:rFonts w:ascii="Cambria" w:hAnsi="Cambria"/>
              </w:rPr>
              <w:t>on Environmental Data</w:t>
            </w:r>
            <w:r w:rsidR="001A0723">
              <w:rPr>
                <w:rFonts w:ascii="Cambria" w:hAnsi="Cambria"/>
              </w:rPr>
              <w:t xml:space="preserve"> (</w:t>
            </w:r>
            <w:r w:rsidR="001A0723" w:rsidRPr="001A0723">
              <w:rPr>
                <w:rFonts w:ascii="Cambria" w:hAnsi="Cambria"/>
                <w:b/>
              </w:rPr>
              <w:t>India</w:t>
            </w:r>
            <w:r w:rsidR="001A0723">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 xml:space="preserve">6 </w:t>
            </w:r>
            <w:r w:rsidR="00FB5BA4" w:rsidRPr="00C06EFF">
              <w:rPr>
                <w:rFonts w:ascii="Cambria" w:hAnsi="Cambria"/>
                <w:i/>
              </w:rPr>
              <w:t>Greenlines</w:t>
            </w:r>
            <w:r>
              <w:rPr>
                <w:rFonts w:ascii="Cambria" w:hAnsi="Cambria"/>
              </w:rPr>
              <w:t xml:space="preserve"> newsletter in 3 years (</w:t>
            </w:r>
            <w:r w:rsidRPr="001A0723">
              <w:rPr>
                <w:rFonts w:ascii="Cambria" w:hAnsi="Cambria"/>
                <w:b/>
              </w:rPr>
              <w:t>USA</w:t>
            </w:r>
            <w:r>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Updated</w:t>
            </w:r>
            <w:r w:rsidR="00FB5BA4">
              <w:rPr>
                <w:rFonts w:ascii="Cambria" w:hAnsi="Cambria"/>
              </w:rPr>
              <w:t xml:space="preserve"> WGEA website</w:t>
            </w:r>
          </w:p>
          <w:p w:rsidR="00FB5BA4" w:rsidRDefault="001A0723" w:rsidP="0075214E">
            <w:pPr>
              <w:pStyle w:val="ListParagraph"/>
              <w:numPr>
                <w:ilvl w:val="0"/>
                <w:numId w:val="12"/>
              </w:numPr>
              <w:ind w:left="451"/>
              <w:rPr>
                <w:rFonts w:ascii="Cambria" w:hAnsi="Cambria"/>
              </w:rPr>
            </w:pPr>
            <w:r>
              <w:rPr>
                <w:rFonts w:ascii="Cambria" w:hAnsi="Cambria"/>
              </w:rPr>
              <w:t xml:space="preserve">1 </w:t>
            </w:r>
            <w:r w:rsidR="00FB5BA4">
              <w:rPr>
                <w:rFonts w:ascii="Cambria" w:hAnsi="Cambria"/>
              </w:rPr>
              <w:t>Report on 9</w:t>
            </w:r>
            <w:r w:rsidR="00FB5BA4" w:rsidRPr="00652F81">
              <w:rPr>
                <w:rFonts w:ascii="Cambria" w:hAnsi="Cambria"/>
                <w:vertAlign w:val="superscript"/>
              </w:rPr>
              <w:t>th</w:t>
            </w:r>
            <w:r w:rsidR="00FB5BA4">
              <w:rPr>
                <w:rFonts w:ascii="Cambria" w:hAnsi="Cambria"/>
              </w:rPr>
              <w:t xml:space="preserve"> Survey on Environmental Auditing</w:t>
            </w:r>
            <w:r>
              <w:rPr>
                <w:rFonts w:ascii="Cambria" w:hAnsi="Cambria"/>
              </w:rPr>
              <w:t xml:space="preserve"> (</w:t>
            </w:r>
            <w:r w:rsidRPr="001A0723">
              <w:rPr>
                <w:rFonts w:ascii="Cambria" w:hAnsi="Cambria"/>
                <w:b/>
              </w:rPr>
              <w:t>Secretariat</w:t>
            </w:r>
            <w:r>
              <w:rPr>
                <w:rFonts w:ascii="Cambria" w:hAnsi="Cambria"/>
              </w:rPr>
              <w:t>)</w:t>
            </w:r>
          </w:p>
          <w:p w:rsidR="00FB5BA4" w:rsidRDefault="001A0723" w:rsidP="0075214E">
            <w:pPr>
              <w:pStyle w:val="ListParagraph"/>
              <w:numPr>
                <w:ilvl w:val="0"/>
                <w:numId w:val="12"/>
              </w:numPr>
              <w:ind w:left="451"/>
              <w:rPr>
                <w:rFonts w:ascii="Cambria" w:hAnsi="Cambria"/>
              </w:rPr>
            </w:pPr>
            <w:r>
              <w:rPr>
                <w:rFonts w:ascii="Cambria" w:hAnsi="Cambria"/>
              </w:rPr>
              <w:t>A</w:t>
            </w:r>
            <w:r w:rsidR="00FB5BA4">
              <w:rPr>
                <w:rFonts w:ascii="Cambria" w:hAnsi="Cambria"/>
              </w:rPr>
              <w:t xml:space="preserve">nnual audit collection </w:t>
            </w:r>
            <w:r>
              <w:rPr>
                <w:rFonts w:ascii="Cambria" w:hAnsi="Cambria"/>
              </w:rPr>
              <w:t xml:space="preserve">uploaded on </w:t>
            </w:r>
            <w:r w:rsidR="00FB5BA4">
              <w:rPr>
                <w:rFonts w:ascii="Cambria" w:hAnsi="Cambria"/>
              </w:rPr>
              <w:t>website</w:t>
            </w:r>
            <w:r>
              <w:rPr>
                <w:rFonts w:ascii="Cambria" w:hAnsi="Cambria"/>
              </w:rPr>
              <w:t xml:space="preserve"> (3 times in 3 years) (</w:t>
            </w:r>
            <w:r w:rsidRPr="001A0723">
              <w:rPr>
                <w:rFonts w:ascii="Cambria" w:hAnsi="Cambria"/>
                <w:b/>
              </w:rPr>
              <w:t>Secretariat</w:t>
            </w:r>
            <w:r>
              <w:rPr>
                <w:rFonts w:ascii="Cambria" w:hAnsi="Cambria"/>
              </w:rPr>
              <w:t>)</w:t>
            </w:r>
          </w:p>
          <w:p w:rsidR="00FB5BA4" w:rsidRDefault="00FB5BA4" w:rsidP="005A2C2F">
            <w:pPr>
              <w:rPr>
                <w:rFonts w:ascii="Cambria" w:hAnsi="Cambria"/>
              </w:rPr>
            </w:pPr>
          </w:p>
        </w:tc>
        <w:tc>
          <w:tcPr>
            <w:tcW w:w="5580" w:type="dxa"/>
            <w:shd w:val="clear" w:color="auto" w:fill="70AD47" w:themeFill="accent6"/>
            <w:vAlign w:val="center"/>
          </w:tcPr>
          <w:p w:rsidR="00FB5BA4" w:rsidRPr="001A0723" w:rsidRDefault="00FB5BA4" w:rsidP="001A0723">
            <w:pPr>
              <w:pStyle w:val="ListParagraph"/>
              <w:numPr>
                <w:ilvl w:val="0"/>
                <w:numId w:val="17"/>
              </w:numPr>
              <w:ind w:left="311"/>
              <w:rPr>
                <w:rFonts w:ascii="Cambria" w:hAnsi="Cambria"/>
              </w:rPr>
            </w:pPr>
            <w:r w:rsidRPr="001A0723">
              <w:rPr>
                <w:lang w:val="en-CA"/>
              </w:rPr>
              <w:t>Provide training on environmental audit</w:t>
            </w:r>
            <w:r w:rsidRPr="001A0723">
              <w:rPr>
                <w:lang w:val="id-ID"/>
              </w:rPr>
              <w:t>ing</w:t>
            </w:r>
            <w:r w:rsidRPr="001A0723">
              <w:rPr>
                <w:lang w:val="en-CA"/>
              </w:rPr>
              <w:t xml:space="preserve"> in the global training facility annually</w:t>
            </w:r>
            <w:r w:rsidR="001A0723">
              <w:rPr>
                <w:lang w:val="en-CA"/>
              </w:rPr>
              <w:t xml:space="preserve"> (</w:t>
            </w:r>
            <w:r w:rsidR="001A0723" w:rsidRPr="001A0723">
              <w:rPr>
                <w:b/>
                <w:lang w:val="en-CA"/>
              </w:rPr>
              <w:t>November 2017, 2018, 2019</w:t>
            </w:r>
            <w:r w:rsidR="001A0723">
              <w:rPr>
                <w:lang w:val="en-CA"/>
              </w:rPr>
              <w:t>)</w:t>
            </w:r>
            <w:r w:rsidRP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Provide training on forestry auditing</w:t>
            </w:r>
            <w:r w:rsidR="001A0723">
              <w:rPr>
                <w:lang w:val="en-CA"/>
              </w:rPr>
              <w:t xml:space="preserve"> (</w:t>
            </w:r>
            <w:r w:rsidR="001A0723" w:rsidRPr="001A0723">
              <w:rPr>
                <w:b/>
                <w:lang w:val="en-CA"/>
              </w:rPr>
              <w:t>September 2017, 2018, 2019</w:t>
            </w:r>
            <w:r w:rsid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by creating an e-learning course (MOOC) on relevant topics</w:t>
            </w:r>
            <w:r w:rsidR="001A0723">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 Pilot Project on: Greening the SAIs</w:t>
            </w:r>
            <w:r w:rsidR="004867C6">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FB5BA4" w:rsidP="001A0723">
            <w:pPr>
              <w:pStyle w:val="ListParagraph"/>
              <w:numPr>
                <w:ilvl w:val="0"/>
                <w:numId w:val="17"/>
              </w:numPr>
              <w:ind w:left="311"/>
              <w:rPr>
                <w:lang w:val="en-CA"/>
              </w:rPr>
            </w:pPr>
            <w:r w:rsidRPr="001A0723">
              <w:rPr>
                <w:lang w:val="en-CA"/>
              </w:rPr>
              <w:t>Develop Training Tool on: Environmental Data: Resources and Option for SAIs</w:t>
            </w:r>
            <w:r w:rsidR="004867C6">
              <w:rPr>
                <w:lang w:val="en-CA"/>
              </w:rPr>
              <w:t xml:space="preserve"> (</w:t>
            </w:r>
            <w:r w:rsidR="004867C6" w:rsidRPr="004867C6">
              <w:rPr>
                <w:b/>
                <w:lang w:val="en-CA"/>
              </w:rPr>
              <w:t xml:space="preserve">same as </w:t>
            </w:r>
            <w:r w:rsidR="004867C6">
              <w:rPr>
                <w:b/>
                <w:lang w:val="en-CA"/>
              </w:rPr>
              <w:t xml:space="preserve">above </w:t>
            </w:r>
            <w:r w:rsidR="004867C6" w:rsidRPr="004867C6">
              <w:rPr>
                <w:b/>
                <w:lang w:val="en-CA"/>
              </w:rPr>
              <w:t xml:space="preserve">timelines </w:t>
            </w:r>
            <w:r w:rsidR="004867C6">
              <w:rPr>
                <w:b/>
                <w:lang w:val="en-CA"/>
              </w:rPr>
              <w:t xml:space="preserve">for </w:t>
            </w:r>
            <w:r w:rsidR="004867C6" w:rsidRPr="004867C6">
              <w:rPr>
                <w:b/>
                <w:lang w:val="en-CA"/>
              </w:rPr>
              <w:t>develop</w:t>
            </w:r>
            <w:r w:rsidR="004867C6">
              <w:rPr>
                <w:b/>
                <w:lang w:val="en-CA"/>
              </w:rPr>
              <w:t>ment of</w:t>
            </w:r>
            <w:r w:rsidR="004867C6" w:rsidRPr="004867C6">
              <w:rPr>
                <w:b/>
                <w:lang w:val="en-CA"/>
              </w:rPr>
              <w:t xml:space="preserve"> audit guidance and research projects</w:t>
            </w:r>
            <w:r w:rsidR="004867C6">
              <w:rPr>
                <w:lang w:val="en-CA"/>
              </w:rPr>
              <w:t>)</w:t>
            </w:r>
          </w:p>
          <w:p w:rsidR="00FB5BA4" w:rsidRPr="001A0723" w:rsidRDefault="004867C6" w:rsidP="001A0723">
            <w:pPr>
              <w:pStyle w:val="ListParagraph"/>
              <w:numPr>
                <w:ilvl w:val="0"/>
                <w:numId w:val="17"/>
              </w:numPr>
              <w:ind w:left="311"/>
              <w:rPr>
                <w:lang w:val="en-CA"/>
              </w:rPr>
            </w:pPr>
            <w:r>
              <w:rPr>
                <w:lang w:val="en-CA"/>
              </w:rPr>
              <w:t>Publishing</w:t>
            </w:r>
            <w:r w:rsidR="00FB5BA4" w:rsidRPr="001A0723">
              <w:rPr>
                <w:lang w:val="en-CA"/>
              </w:rPr>
              <w:t xml:space="preserve"> the Greenlines newsletter twice yearly</w:t>
            </w:r>
            <w:r>
              <w:rPr>
                <w:lang w:val="en-CA"/>
              </w:rPr>
              <w:t xml:space="preserve"> (</w:t>
            </w:r>
            <w:r w:rsidRPr="004867C6">
              <w:rPr>
                <w:b/>
                <w:lang w:val="en-CA"/>
              </w:rPr>
              <w:t>January and August 2017, 2018, 2019</w:t>
            </w:r>
            <w:r>
              <w:rPr>
                <w:lang w:val="en-CA"/>
              </w:rPr>
              <w:t>)</w:t>
            </w:r>
            <w:r w:rsidR="00FB5BA4" w:rsidRPr="001A0723">
              <w:rPr>
                <w:lang w:val="en-CA"/>
              </w:rPr>
              <w:t>.</w:t>
            </w:r>
          </w:p>
          <w:p w:rsidR="00FB5BA4" w:rsidRPr="001A0723" w:rsidRDefault="00FB5BA4" w:rsidP="001A0723">
            <w:pPr>
              <w:pStyle w:val="ListParagraph"/>
              <w:numPr>
                <w:ilvl w:val="0"/>
                <w:numId w:val="17"/>
              </w:numPr>
              <w:ind w:left="311"/>
              <w:rPr>
                <w:lang w:val="en-CA"/>
              </w:rPr>
            </w:pPr>
            <w:r w:rsidRPr="001A0723">
              <w:rPr>
                <w:lang w:val="en-CA"/>
              </w:rPr>
              <w:t>Maintain and enhance the WGEA website according to the needs of the working group.</w:t>
            </w:r>
          </w:p>
          <w:p w:rsidR="00FB5BA4" w:rsidRPr="001A0723" w:rsidRDefault="004867C6" w:rsidP="001A0723">
            <w:pPr>
              <w:pStyle w:val="ListParagraph"/>
              <w:numPr>
                <w:ilvl w:val="0"/>
                <w:numId w:val="17"/>
              </w:numPr>
              <w:ind w:left="311"/>
              <w:rPr>
                <w:lang w:val="en-CA"/>
              </w:rPr>
            </w:pPr>
            <w:r>
              <w:rPr>
                <w:lang w:val="en-CA"/>
              </w:rPr>
              <w:t>Circulate</w:t>
            </w:r>
            <w:r w:rsidR="00FB5BA4" w:rsidRPr="001A0723">
              <w:rPr>
                <w:lang w:val="en-CA"/>
              </w:rPr>
              <w:t xml:space="preserve"> the 9th survey on environmental auditing</w:t>
            </w:r>
            <w:r>
              <w:rPr>
                <w:lang w:val="en-CA"/>
              </w:rPr>
              <w:t xml:space="preserve"> (</w:t>
            </w:r>
            <w:r w:rsidRPr="004867C6">
              <w:rPr>
                <w:b/>
                <w:lang w:val="en-CA"/>
              </w:rPr>
              <w:t>January 2018</w:t>
            </w:r>
            <w:r>
              <w:rPr>
                <w:lang w:val="en-CA"/>
              </w:rPr>
              <w:t>), Publish the report (</w:t>
            </w:r>
            <w:r w:rsidRPr="004867C6">
              <w:rPr>
                <w:b/>
                <w:lang w:val="en-CA"/>
              </w:rPr>
              <w:t>November 2018</w:t>
            </w:r>
            <w:r>
              <w:rPr>
                <w:lang w:val="en-CA"/>
              </w:rPr>
              <w:t>)</w:t>
            </w:r>
          </w:p>
          <w:p w:rsidR="00FB5BA4" w:rsidRPr="004867C6" w:rsidRDefault="004867C6" w:rsidP="004867C6">
            <w:pPr>
              <w:pStyle w:val="ListParagraph"/>
              <w:numPr>
                <w:ilvl w:val="0"/>
                <w:numId w:val="17"/>
              </w:numPr>
              <w:ind w:left="311"/>
              <w:rPr>
                <w:lang w:val="en-CA"/>
              </w:rPr>
            </w:pPr>
            <w:r>
              <w:rPr>
                <w:lang w:val="en-CA"/>
              </w:rPr>
              <w:t xml:space="preserve">Calling </w:t>
            </w:r>
            <w:r w:rsidR="00FB5BA4" w:rsidRPr="001A0723">
              <w:rPr>
                <w:lang w:val="en-CA"/>
              </w:rPr>
              <w:t xml:space="preserve">for the annual collection of environmental audits worldwide </w:t>
            </w:r>
            <w:r>
              <w:rPr>
                <w:lang w:val="en-CA"/>
              </w:rPr>
              <w:t>(</w:t>
            </w:r>
            <w:r w:rsidRPr="004867C6">
              <w:rPr>
                <w:b/>
                <w:lang w:val="en-CA"/>
              </w:rPr>
              <w:t>January 2017, 2018, 2019</w:t>
            </w:r>
            <w:r>
              <w:rPr>
                <w:lang w:val="en-CA"/>
              </w:rPr>
              <w:t>)</w:t>
            </w:r>
          </w:p>
          <w:p w:rsidR="00FB5BA4" w:rsidRPr="00CD7B24" w:rsidRDefault="00FB5BA4" w:rsidP="005A2C2F">
            <w:pPr>
              <w:jc w:val="both"/>
              <w:rPr>
                <w:rFonts w:ascii="Cambria" w:hAnsi="Cambria" w:cs="Arial"/>
                <w:lang w:val="en-CA"/>
              </w:rPr>
            </w:pPr>
          </w:p>
        </w:tc>
      </w:tr>
      <w:tr w:rsidR="00FB5BA4" w:rsidRPr="00345D40" w:rsidTr="006F37E4">
        <w:trPr>
          <w:trHeight w:val="4777"/>
        </w:trPr>
        <w:tc>
          <w:tcPr>
            <w:tcW w:w="2246" w:type="dxa"/>
            <w:vMerge/>
            <w:vAlign w:val="center"/>
          </w:tcPr>
          <w:p w:rsidR="00FB5BA4" w:rsidRPr="00C06EFF" w:rsidRDefault="00FB5BA4" w:rsidP="008A2CB0">
            <w:pPr>
              <w:rPr>
                <w:rFonts w:ascii="Cambria" w:hAnsi="Cambria"/>
              </w:rPr>
            </w:pPr>
          </w:p>
        </w:tc>
        <w:tc>
          <w:tcPr>
            <w:tcW w:w="3595" w:type="dxa"/>
            <w:shd w:val="clear" w:color="auto" w:fill="auto"/>
            <w:vAlign w:val="center"/>
          </w:tcPr>
          <w:p w:rsidR="00FB5BA4" w:rsidRPr="006F6DBB" w:rsidRDefault="00FB5BA4" w:rsidP="00C06EFF">
            <w:pPr>
              <w:spacing w:after="120" w:line="240" w:lineRule="auto"/>
              <w:jc w:val="both"/>
              <w:rPr>
                <w:rFonts w:ascii="Cambria" w:hAnsi="Cambria" w:cs="Arial"/>
              </w:rPr>
            </w:pPr>
            <w:r w:rsidRPr="006F6DBB">
              <w:rPr>
                <w:rFonts w:ascii="Cambria" w:hAnsi="Cambria" w:cs="Arial"/>
              </w:rPr>
              <w:t>The WGEA encourages SAIs to undertake concurrent, joint, or co</w:t>
            </w:r>
            <w:r w:rsidRPr="006F6DBB">
              <w:rPr>
                <w:rFonts w:ascii="Cambria" w:hAnsi="Cambria" w:cs="Arial"/>
              </w:rPr>
              <w:noBreakHyphen/>
              <w:t>ordinated audits. Many SAIs have gained considerable experience through concurrent, joint, and coordinated audits, it is good to acknowledge that cooperative audit work is a growing trend and is occurring in all INTOSAI regions. An action first set in the previous work plan to encourage regions to design and carry out regional cooperative audit has worked well.</w:t>
            </w:r>
          </w:p>
          <w:p w:rsidR="00FB5BA4" w:rsidRPr="006F6DBB" w:rsidRDefault="00FB5BA4" w:rsidP="006F37E4">
            <w:pPr>
              <w:spacing w:after="120" w:line="240" w:lineRule="auto"/>
              <w:jc w:val="both"/>
              <w:rPr>
                <w:rFonts w:ascii="Cambria" w:hAnsi="Cambria"/>
              </w:rPr>
            </w:pPr>
            <w:r w:rsidRPr="006F6DBB">
              <w:rPr>
                <w:rFonts w:ascii="Cambria" w:hAnsi="Cambria" w:cs="Arial"/>
              </w:rPr>
              <w:t xml:space="preserve">Most of the cooperative work has taken place at a regional level, but from the previous work periods WGEA has also a global experience – a coordinated audit of climate change was conducted among 14 SAIs around the world. </w:t>
            </w:r>
          </w:p>
        </w:tc>
        <w:tc>
          <w:tcPr>
            <w:tcW w:w="3870" w:type="dxa"/>
            <w:shd w:val="clear" w:color="auto" w:fill="auto"/>
            <w:vAlign w:val="center"/>
          </w:tcPr>
          <w:p w:rsidR="00FB5BA4" w:rsidRPr="00A01A2A" w:rsidRDefault="006F37E4" w:rsidP="0075214E">
            <w:pPr>
              <w:pStyle w:val="ListParagraph"/>
              <w:ind w:left="451"/>
              <w:rPr>
                <w:rFonts w:ascii="Cambria" w:hAnsi="Cambria"/>
              </w:rPr>
            </w:pPr>
            <w:r>
              <w:rPr>
                <w:rFonts w:ascii="Cambria" w:hAnsi="Cambria"/>
              </w:rPr>
              <w:t>Indicators for regional cooperative audits are defined by each region respectively</w:t>
            </w:r>
            <w:r w:rsidRPr="00A01A2A">
              <w:rPr>
                <w:rFonts w:ascii="Cambria" w:hAnsi="Cambria"/>
              </w:rPr>
              <w:t xml:space="preserve"> </w:t>
            </w:r>
          </w:p>
        </w:tc>
        <w:tc>
          <w:tcPr>
            <w:tcW w:w="5580" w:type="dxa"/>
            <w:shd w:val="clear" w:color="auto" w:fill="70AD47" w:themeFill="accent6"/>
            <w:vAlign w:val="center"/>
          </w:tcPr>
          <w:p w:rsidR="00FB5BA4" w:rsidRPr="006F6DBB" w:rsidRDefault="00FB5BA4" w:rsidP="00C06EFF">
            <w:pPr>
              <w:pStyle w:val="ListParagraph"/>
              <w:numPr>
                <w:ilvl w:val="0"/>
                <w:numId w:val="6"/>
              </w:numPr>
              <w:ind w:left="376"/>
              <w:rPr>
                <w:rFonts w:ascii="Cambria" w:hAnsi="Cambria"/>
              </w:rPr>
            </w:pPr>
            <w:r w:rsidRPr="006F6DBB">
              <w:rPr>
                <w:lang w:val="en-CA"/>
              </w:rPr>
              <w:t>Encourage regions to design and carry out a regional cooperative audit in each INTOSAI region. Regional coordinators and member SAIs to identify and pursue topics of common interest, select the audit coordinator, and define the precise scope and form of cooperation.</w:t>
            </w:r>
          </w:p>
          <w:p w:rsidR="00FB5BA4" w:rsidRPr="00A01A2A" w:rsidRDefault="00FB5BA4" w:rsidP="00C06EFF">
            <w:pPr>
              <w:pStyle w:val="ListParagraph"/>
              <w:numPr>
                <w:ilvl w:val="0"/>
                <w:numId w:val="6"/>
              </w:numPr>
              <w:ind w:left="376"/>
              <w:rPr>
                <w:rFonts w:ascii="Cambria" w:hAnsi="Cambria"/>
              </w:rPr>
            </w:pPr>
            <w:r>
              <w:rPr>
                <w:lang w:val="en-CA"/>
              </w:rPr>
              <w:t>Encourage regions to have cooperative work (e.g. audits, training courses) and to disseminate existing WGEA guidance materials, research papers, training materials.</w:t>
            </w:r>
          </w:p>
          <w:p w:rsidR="00FB5BA4" w:rsidRPr="006F6DBB" w:rsidRDefault="00FB5BA4" w:rsidP="006F37E4">
            <w:pPr>
              <w:pStyle w:val="ListParagraph"/>
              <w:ind w:left="376"/>
              <w:rPr>
                <w:rFonts w:ascii="Cambria" w:hAnsi="Cambria"/>
              </w:rPr>
            </w:pPr>
          </w:p>
        </w:tc>
      </w:tr>
      <w:tr w:rsidR="006F37E4" w:rsidRPr="00345D40" w:rsidTr="006F37E4">
        <w:trPr>
          <w:trHeight w:val="4777"/>
        </w:trPr>
        <w:tc>
          <w:tcPr>
            <w:tcW w:w="2246" w:type="dxa"/>
            <w:vAlign w:val="center"/>
          </w:tcPr>
          <w:p w:rsidR="006F37E4" w:rsidRPr="00C06EFF" w:rsidRDefault="006F37E4" w:rsidP="008A2CB0">
            <w:pPr>
              <w:rPr>
                <w:rFonts w:ascii="Cambria" w:hAnsi="Cambria"/>
              </w:rPr>
            </w:pPr>
          </w:p>
        </w:tc>
        <w:tc>
          <w:tcPr>
            <w:tcW w:w="3595" w:type="dxa"/>
            <w:shd w:val="clear" w:color="auto" w:fill="auto"/>
            <w:vAlign w:val="center"/>
          </w:tcPr>
          <w:p w:rsidR="006F37E4" w:rsidRPr="002A1038" w:rsidRDefault="002A1038" w:rsidP="002A1038">
            <w:pPr>
              <w:rPr>
                <w:rFonts w:ascii="Cambria" w:hAnsi="Cambria"/>
              </w:rPr>
            </w:pPr>
            <w:r>
              <w:rPr>
                <w:rFonts w:ascii="Cambria" w:hAnsi="Cambria"/>
              </w:rPr>
              <w:t>The Secretariat o</w:t>
            </w:r>
            <w:r w:rsidR="006F37E4" w:rsidRPr="002A1038">
              <w:rPr>
                <w:rFonts w:ascii="Cambria" w:hAnsi="Cambria"/>
              </w:rPr>
              <w:t>rganize WGEA meetings</w:t>
            </w:r>
            <w:r>
              <w:rPr>
                <w:rFonts w:ascii="Cambria" w:hAnsi="Cambria"/>
              </w:rPr>
              <w:t xml:space="preserve"> to encourage exchange of knowledge and experience in addition to approvals of the working group’s project outputs. </w:t>
            </w:r>
          </w:p>
          <w:p w:rsidR="006F37E4" w:rsidRPr="006F6DBB" w:rsidRDefault="006F37E4" w:rsidP="006F37E4">
            <w:pPr>
              <w:pStyle w:val="ListParagraph"/>
              <w:ind w:left="376"/>
              <w:rPr>
                <w:rFonts w:ascii="Cambria" w:hAnsi="Cambria" w:cs="Arial"/>
              </w:rPr>
            </w:pPr>
          </w:p>
        </w:tc>
        <w:tc>
          <w:tcPr>
            <w:tcW w:w="3870" w:type="dxa"/>
            <w:shd w:val="clear" w:color="auto" w:fill="auto"/>
            <w:vAlign w:val="center"/>
          </w:tcPr>
          <w:p w:rsidR="006F37E4" w:rsidRDefault="006F37E4" w:rsidP="00A01A2A">
            <w:pPr>
              <w:pStyle w:val="ListParagraph"/>
              <w:numPr>
                <w:ilvl w:val="0"/>
                <w:numId w:val="12"/>
              </w:numPr>
              <w:ind w:left="451"/>
              <w:rPr>
                <w:rFonts w:ascii="Cambria" w:hAnsi="Cambria"/>
              </w:rPr>
            </w:pPr>
            <w:r>
              <w:rPr>
                <w:rFonts w:ascii="Cambria" w:hAnsi="Cambria"/>
              </w:rPr>
              <w:t>2 WGEA Assembly Meetings</w:t>
            </w:r>
          </w:p>
          <w:p w:rsidR="006F37E4" w:rsidRDefault="006F37E4" w:rsidP="00A01A2A">
            <w:pPr>
              <w:pStyle w:val="ListParagraph"/>
              <w:numPr>
                <w:ilvl w:val="0"/>
                <w:numId w:val="12"/>
              </w:numPr>
              <w:ind w:left="451"/>
              <w:rPr>
                <w:rFonts w:ascii="Cambria" w:hAnsi="Cambria"/>
              </w:rPr>
            </w:pPr>
            <w:r>
              <w:rPr>
                <w:rFonts w:ascii="Cambria" w:hAnsi="Cambria"/>
              </w:rPr>
              <w:t>2 WGEA SC Meetings</w:t>
            </w:r>
          </w:p>
          <w:p w:rsidR="006F37E4" w:rsidRDefault="006F37E4" w:rsidP="00A01A2A">
            <w:pPr>
              <w:pStyle w:val="ListParagraph"/>
              <w:numPr>
                <w:ilvl w:val="0"/>
                <w:numId w:val="12"/>
              </w:numPr>
              <w:ind w:left="451"/>
              <w:rPr>
                <w:rFonts w:ascii="Cambria" w:hAnsi="Cambria"/>
              </w:rPr>
            </w:pPr>
            <w:r>
              <w:rPr>
                <w:rFonts w:ascii="Cambria" w:hAnsi="Cambria"/>
              </w:rPr>
              <w:t>Indicators for regional meetings are defined by each region respectively</w:t>
            </w:r>
          </w:p>
        </w:tc>
        <w:tc>
          <w:tcPr>
            <w:tcW w:w="5580" w:type="dxa"/>
            <w:shd w:val="clear" w:color="auto" w:fill="70AD47" w:themeFill="accent6"/>
            <w:vAlign w:val="center"/>
          </w:tcPr>
          <w:p w:rsidR="006F37E4" w:rsidRDefault="006F37E4" w:rsidP="006F37E4">
            <w:pPr>
              <w:pStyle w:val="ListParagraph"/>
              <w:numPr>
                <w:ilvl w:val="0"/>
                <w:numId w:val="6"/>
              </w:numPr>
              <w:ind w:left="376"/>
              <w:rPr>
                <w:rFonts w:ascii="Cambria" w:hAnsi="Cambria"/>
              </w:rPr>
            </w:pPr>
            <w:r>
              <w:rPr>
                <w:rFonts w:ascii="Cambria" w:hAnsi="Cambria"/>
              </w:rPr>
              <w:t>Organize WGEA Assembly Meetings (</w:t>
            </w:r>
            <w:r w:rsidRPr="006F37E4">
              <w:rPr>
                <w:rFonts w:ascii="Cambria" w:hAnsi="Cambria"/>
                <w:b/>
              </w:rPr>
              <w:t>Mid 2018 and September 2019</w:t>
            </w:r>
            <w:r>
              <w:rPr>
                <w:rFonts w:ascii="Cambria" w:hAnsi="Cambria"/>
              </w:rPr>
              <w:t xml:space="preserve">) </w:t>
            </w:r>
          </w:p>
          <w:p w:rsidR="006F37E4" w:rsidRPr="006F37E4" w:rsidRDefault="006F37E4" w:rsidP="006F37E4">
            <w:pPr>
              <w:pStyle w:val="ListParagraph"/>
              <w:numPr>
                <w:ilvl w:val="0"/>
                <w:numId w:val="6"/>
              </w:numPr>
              <w:ind w:left="376"/>
              <w:rPr>
                <w:lang w:val="en-CA"/>
              </w:rPr>
            </w:pPr>
            <w:r>
              <w:rPr>
                <w:rFonts w:ascii="Cambria" w:hAnsi="Cambria"/>
              </w:rPr>
              <w:t>Organize SC Meetings (</w:t>
            </w:r>
            <w:r w:rsidRPr="006F37E4">
              <w:rPr>
                <w:rFonts w:ascii="Cambria" w:hAnsi="Cambria"/>
                <w:b/>
              </w:rPr>
              <w:t>September 2017 and November 2018</w:t>
            </w:r>
            <w:r>
              <w:rPr>
                <w:rFonts w:ascii="Cambria" w:hAnsi="Cambria"/>
              </w:rPr>
              <w:t>)</w:t>
            </w:r>
          </w:p>
          <w:p w:rsidR="006F37E4" w:rsidRPr="006F6DBB" w:rsidRDefault="006F37E4" w:rsidP="006F37E4">
            <w:pPr>
              <w:pStyle w:val="ListParagraph"/>
              <w:numPr>
                <w:ilvl w:val="0"/>
                <w:numId w:val="6"/>
              </w:numPr>
              <w:ind w:left="376"/>
              <w:rPr>
                <w:lang w:val="en-CA"/>
              </w:rPr>
            </w:pPr>
            <w:r w:rsidRPr="007F682F">
              <w:t xml:space="preserve">Regional coordinators are encouraged to </w:t>
            </w:r>
            <w:r>
              <w:t xml:space="preserve">convene at least one meeting </w:t>
            </w:r>
            <w:r w:rsidRPr="007F682F">
              <w:rPr>
                <w:lang w:val="en-CA"/>
              </w:rPr>
              <w:t>of the regional working group on environmental auditing</w:t>
            </w:r>
            <w:r w:rsidRPr="007F682F">
              <w:t xml:space="preserve"> during 20</w:t>
            </w:r>
            <w:r>
              <w:t>14</w:t>
            </w:r>
            <w:r w:rsidRPr="007F682F">
              <w:t>-201</w:t>
            </w:r>
            <w:r>
              <w:t xml:space="preserve">6 and to deliver </w:t>
            </w:r>
            <w:r>
              <w:rPr>
                <w:lang w:val="en-CA"/>
              </w:rPr>
              <w:t xml:space="preserve">at least one training course (i.e. biodiversity, climate change, mining, forestry) </w:t>
            </w:r>
            <w:r w:rsidRPr="007F682F">
              <w:rPr>
                <w:lang w:val="en-CA"/>
              </w:rPr>
              <w:t>at planned meetings</w:t>
            </w:r>
            <w:r>
              <w:t>.</w:t>
            </w:r>
          </w:p>
        </w:tc>
      </w:tr>
      <w:tr w:rsidR="00A01A2A" w:rsidRPr="00345D40" w:rsidTr="0075214E">
        <w:trPr>
          <w:trHeight w:val="3415"/>
        </w:trPr>
        <w:tc>
          <w:tcPr>
            <w:tcW w:w="2246" w:type="dxa"/>
            <w:vAlign w:val="center"/>
          </w:tcPr>
          <w:p w:rsidR="00A01A2A" w:rsidRPr="00C06EFF" w:rsidRDefault="00A01A2A" w:rsidP="00A01A2A">
            <w:pPr>
              <w:spacing w:after="0"/>
              <w:jc w:val="both"/>
              <w:rPr>
                <w:rFonts w:ascii="Cambria" w:hAnsi="Cambria"/>
              </w:rPr>
            </w:pPr>
            <w:r w:rsidRPr="00C06EFF">
              <w:rPr>
                <w:rFonts w:ascii="Cambria" w:hAnsi="Cambria"/>
              </w:rPr>
              <w:t>S.O.3.</w:t>
            </w:r>
          </w:p>
          <w:p w:rsidR="00A01A2A" w:rsidRPr="00C06EFF" w:rsidRDefault="00A01A2A" w:rsidP="00A01A2A">
            <w:pPr>
              <w:jc w:val="both"/>
              <w:rPr>
                <w:rFonts w:ascii="Cambria" w:hAnsi="Cambria"/>
              </w:rPr>
            </w:pPr>
            <w:r w:rsidRPr="00C06EFF">
              <w:rPr>
                <w:rFonts w:ascii="Cambria" w:hAnsi="Cambria"/>
              </w:rPr>
              <w:t>Working with the CBC, IDI, and other INTOSAI entities, facilitate continuous improvement of SAIs through knowledge sharing on the crosscutting lessons learned from the results of peer reviews and SAI PMF.</w:t>
            </w:r>
          </w:p>
        </w:tc>
        <w:tc>
          <w:tcPr>
            <w:tcW w:w="3595" w:type="dxa"/>
            <w:shd w:val="clear" w:color="auto" w:fill="auto"/>
            <w:vAlign w:val="center"/>
          </w:tcPr>
          <w:p w:rsidR="00A01A2A" w:rsidRPr="00C06EFF" w:rsidRDefault="002A1038" w:rsidP="00C06EFF">
            <w:pPr>
              <w:spacing w:after="120" w:line="240" w:lineRule="auto"/>
              <w:jc w:val="both"/>
              <w:rPr>
                <w:rFonts w:ascii="Cambria" w:hAnsi="Cambria" w:cs="Arial"/>
                <w:lang w:val="en-US"/>
              </w:rPr>
            </w:pPr>
            <w:r w:rsidRPr="00652F81">
              <w:rPr>
                <w:rFonts w:ascii="Cambria" w:hAnsi="Cambria" w:cs="Arial"/>
              </w:rPr>
              <w:t xml:space="preserve">The WGEA encourages and support to strengthen cooperation with </w:t>
            </w:r>
            <w:r>
              <w:rPr>
                <w:rFonts w:ascii="Cambria" w:hAnsi="Cambria" w:cs="Arial"/>
              </w:rPr>
              <w:t xml:space="preserve">international </w:t>
            </w:r>
            <w:r w:rsidRPr="00652F81">
              <w:rPr>
                <w:rFonts w:ascii="Cambria" w:hAnsi="Cambria" w:cs="Arial"/>
              </w:rPr>
              <w:t xml:space="preserve">organisations </w:t>
            </w:r>
            <w:r w:rsidR="00A01A2A" w:rsidRPr="00652F81">
              <w:rPr>
                <w:rFonts w:ascii="Cambria" w:hAnsi="Cambria" w:cs="Arial"/>
              </w:rPr>
              <w:t xml:space="preserve">such as the United Nations Environment Programme (UNEP), </w:t>
            </w:r>
            <w:r w:rsidR="00FB5BA4">
              <w:rPr>
                <w:rFonts w:ascii="Cambria" w:hAnsi="Cambria" w:cs="Arial"/>
              </w:rPr>
              <w:t>United Nationa</w:t>
            </w:r>
            <w:r>
              <w:rPr>
                <w:rFonts w:ascii="Cambria" w:hAnsi="Cambria" w:cs="Arial"/>
              </w:rPr>
              <w:t>l</w:t>
            </w:r>
            <w:r w:rsidR="00FB5BA4">
              <w:rPr>
                <w:rFonts w:ascii="Cambria" w:hAnsi="Cambria" w:cs="Arial"/>
              </w:rPr>
              <w:t xml:space="preserve"> Department of Economic and Social Affairs (UNDESA) as well as Co</w:t>
            </w:r>
            <w:r>
              <w:rPr>
                <w:rFonts w:ascii="Cambria" w:hAnsi="Cambria" w:cs="Arial"/>
              </w:rPr>
              <w:t>nvention on Biological Diversity</w:t>
            </w:r>
            <w:r w:rsidR="00FB5BA4">
              <w:rPr>
                <w:rFonts w:ascii="Cambria" w:hAnsi="Cambria" w:cs="Arial"/>
              </w:rPr>
              <w:t xml:space="preserve"> (CBD)</w:t>
            </w:r>
            <w:r w:rsidR="00A01A2A" w:rsidRPr="00652F81">
              <w:rPr>
                <w:rFonts w:ascii="Cambria" w:hAnsi="Cambria" w:cs="Arial"/>
              </w:rPr>
              <w:t>. WGEA exchange</w:t>
            </w:r>
            <w:r>
              <w:rPr>
                <w:rFonts w:ascii="Cambria" w:hAnsi="Cambria" w:cs="Arial"/>
              </w:rPr>
              <w:t>s information and tools</w:t>
            </w:r>
            <w:r w:rsidR="00A01A2A" w:rsidRPr="00652F81">
              <w:rPr>
                <w:rFonts w:ascii="Cambria" w:hAnsi="Cambria" w:cs="Arial"/>
              </w:rPr>
              <w:t xml:space="preserve"> and share information on SAIs’ work on environment auditing. It is expected to continue with the good initiatives and search for new ones, i.e. invite external experts to working group meetings.</w:t>
            </w:r>
            <w:r w:rsidR="00A01A2A" w:rsidRPr="00652F81">
              <w:rPr>
                <w:rFonts w:ascii="Cambria" w:hAnsi="Cambria" w:cs="Arial"/>
                <w:lang w:val="id-ID"/>
              </w:rPr>
              <w:t xml:space="preserve"> </w:t>
            </w:r>
          </w:p>
          <w:p w:rsidR="00A01A2A" w:rsidRPr="00652F81" w:rsidRDefault="00A01A2A" w:rsidP="00A01A2A">
            <w:pPr>
              <w:autoSpaceDE w:val="0"/>
              <w:autoSpaceDN w:val="0"/>
              <w:adjustRightInd w:val="0"/>
              <w:spacing w:after="0" w:line="240" w:lineRule="auto"/>
              <w:jc w:val="both"/>
              <w:rPr>
                <w:rFonts w:ascii="Cambria" w:hAnsi="Cambria"/>
              </w:rPr>
            </w:pPr>
          </w:p>
        </w:tc>
        <w:tc>
          <w:tcPr>
            <w:tcW w:w="3870" w:type="dxa"/>
            <w:shd w:val="clear" w:color="auto" w:fill="auto"/>
            <w:vAlign w:val="center"/>
          </w:tcPr>
          <w:p w:rsidR="00A01A2A" w:rsidRDefault="002A1038" w:rsidP="00A01A2A">
            <w:pPr>
              <w:pStyle w:val="ListParagraph"/>
              <w:numPr>
                <w:ilvl w:val="0"/>
                <w:numId w:val="11"/>
              </w:numPr>
              <w:ind w:left="451"/>
              <w:rPr>
                <w:rFonts w:ascii="Cambria" w:hAnsi="Cambria"/>
              </w:rPr>
            </w:pPr>
            <w:r>
              <w:rPr>
                <w:rFonts w:ascii="Cambria" w:hAnsi="Cambria"/>
              </w:rPr>
              <w:t>Experts from international organizations invited to WGEA meetings as speakers</w:t>
            </w:r>
          </w:p>
          <w:p w:rsidR="005A5F58" w:rsidRPr="005A5F58" w:rsidRDefault="005A5F58" w:rsidP="00A01A2A">
            <w:pPr>
              <w:pStyle w:val="ListParagraph"/>
              <w:numPr>
                <w:ilvl w:val="0"/>
                <w:numId w:val="11"/>
              </w:numPr>
              <w:ind w:left="451"/>
              <w:rPr>
                <w:rFonts w:ascii="Cambria" w:hAnsi="Cambria"/>
              </w:rPr>
            </w:pPr>
            <w:r>
              <w:rPr>
                <w:rFonts w:ascii="Cambria" w:hAnsi="Cambria"/>
              </w:rPr>
              <w:t xml:space="preserve">1 Updated </w:t>
            </w:r>
            <w:r w:rsidRPr="004930A2">
              <w:rPr>
                <w:rFonts w:cs="Arial"/>
                <w:lang w:val="id-ID"/>
              </w:rPr>
              <w:t xml:space="preserve">Guidance Material </w:t>
            </w:r>
            <w:r w:rsidRPr="009951C2">
              <w:rPr>
                <w:rFonts w:cs="Arial"/>
                <w:lang w:val="id-ID"/>
              </w:rPr>
              <w:t xml:space="preserve">on </w:t>
            </w:r>
            <w:r w:rsidRPr="009951C2">
              <w:rPr>
                <w:rFonts w:cs="Arial"/>
                <w:color w:val="000000"/>
                <w:lang w:eastAsia="id-ID"/>
              </w:rPr>
              <w:t>Auditing Biodiversity</w:t>
            </w:r>
          </w:p>
          <w:p w:rsidR="005A5F58" w:rsidRPr="00652F81" w:rsidRDefault="005A5F58" w:rsidP="00A01A2A">
            <w:pPr>
              <w:pStyle w:val="ListParagraph"/>
              <w:numPr>
                <w:ilvl w:val="0"/>
                <w:numId w:val="11"/>
              </w:numPr>
              <w:ind w:left="451"/>
              <w:rPr>
                <w:rFonts w:ascii="Cambria" w:hAnsi="Cambria"/>
              </w:rPr>
            </w:pPr>
            <w:r>
              <w:rPr>
                <w:rFonts w:cs="Arial"/>
                <w:color w:val="000000"/>
                <w:lang w:eastAsia="id-ID"/>
              </w:rPr>
              <w:t>Communication to international organizations regarding INTOSAI WGEA publications.</w:t>
            </w:r>
          </w:p>
        </w:tc>
        <w:tc>
          <w:tcPr>
            <w:tcW w:w="5580" w:type="dxa"/>
            <w:shd w:val="clear" w:color="auto" w:fill="92D050"/>
            <w:vAlign w:val="center"/>
          </w:tcPr>
          <w:p w:rsidR="00A01A2A" w:rsidRPr="00652F81" w:rsidRDefault="00A01A2A" w:rsidP="00A01A2A">
            <w:pPr>
              <w:pStyle w:val="ListParagraph"/>
              <w:numPr>
                <w:ilvl w:val="0"/>
                <w:numId w:val="10"/>
              </w:numPr>
              <w:ind w:left="466"/>
              <w:rPr>
                <w:rFonts w:ascii="Cambria" w:hAnsi="Cambria"/>
              </w:rPr>
            </w:pPr>
            <w:r w:rsidRPr="0056035D">
              <w:rPr>
                <w:rFonts w:cs="Arial"/>
                <w:lang w:val="id-ID"/>
              </w:rPr>
              <w:t>U</w:t>
            </w:r>
            <w:r w:rsidRPr="004930A2">
              <w:rPr>
                <w:rFonts w:cs="Arial"/>
                <w:lang w:val="id-ID"/>
              </w:rPr>
              <w:t xml:space="preserve">pdate the INTOSAI WGEA 2007 Guidance Material </w:t>
            </w:r>
            <w:r w:rsidRPr="009951C2">
              <w:rPr>
                <w:rFonts w:cs="Arial"/>
                <w:lang w:val="id-ID"/>
              </w:rPr>
              <w:t xml:space="preserve">on </w:t>
            </w:r>
            <w:r w:rsidRPr="009951C2">
              <w:rPr>
                <w:rFonts w:cs="Arial"/>
                <w:color w:val="000000"/>
                <w:lang w:eastAsia="id-ID"/>
              </w:rPr>
              <w:t>Auditing Biodiversity: Guidance for Supreme Audit Institutions</w:t>
            </w:r>
            <w:r w:rsidRPr="009951C2">
              <w:rPr>
                <w:rFonts w:cs="Arial"/>
                <w:color w:val="000000"/>
                <w:lang w:val="id-ID" w:eastAsia="id-ID"/>
              </w:rPr>
              <w:t xml:space="preserve"> – </w:t>
            </w:r>
            <w:r>
              <w:rPr>
                <w:rFonts w:cs="Arial"/>
                <w:color w:val="000000"/>
                <w:lang w:val="id-ID" w:eastAsia="id-ID"/>
              </w:rPr>
              <w:t>I</w:t>
            </w:r>
            <w:r w:rsidRPr="009951C2">
              <w:rPr>
                <w:rFonts w:cs="Arial"/>
                <w:color w:val="000000"/>
                <w:lang w:val="id-ID" w:eastAsia="id-ID"/>
              </w:rPr>
              <w:t>n</w:t>
            </w:r>
            <w:r>
              <w:rPr>
                <w:rFonts w:cs="Arial"/>
                <w:color w:val="000000"/>
                <w:lang w:val="id-ID" w:eastAsia="id-ID"/>
              </w:rPr>
              <w:t xml:space="preserve"> C</w:t>
            </w:r>
            <w:r w:rsidRPr="009951C2">
              <w:rPr>
                <w:rFonts w:cs="Arial"/>
                <w:color w:val="000000"/>
                <w:lang w:val="id-ID" w:eastAsia="id-ID"/>
              </w:rPr>
              <w:t>ollaboration with CBD</w:t>
            </w:r>
          </w:p>
          <w:p w:rsidR="00A01A2A" w:rsidRPr="00652F81" w:rsidRDefault="00A01A2A" w:rsidP="00A01A2A">
            <w:pPr>
              <w:pStyle w:val="ListParagraph"/>
              <w:numPr>
                <w:ilvl w:val="0"/>
                <w:numId w:val="10"/>
              </w:numPr>
              <w:ind w:left="466"/>
              <w:rPr>
                <w:rFonts w:ascii="Cambria" w:hAnsi="Cambria"/>
              </w:rPr>
            </w:pPr>
            <w:r w:rsidRPr="003B48A1">
              <w:rPr>
                <w:lang w:val="id-ID"/>
              </w:rPr>
              <w:t>Provide on-going communication and outreach with INTOSAI community as well as external organizations (e.g. introduce and distribute the INTOSAI</w:t>
            </w:r>
            <w:r>
              <w:rPr>
                <w:lang w:val="id-ID"/>
              </w:rPr>
              <w:t xml:space="preserve"> </w:t>
            </w:r>
            <w:r w:rsidRPr="003B48A1">
              <w:rPr>
                <w:lang w:val="id-ID"/>
              </w:rPr>
              <w:t>WGEA publications, strengthen the conti</w:t>
            </w:r>
            <w:r w:rsidR="005A5F58">
              <w:rPr>
                <w:lang w:val="id-ID"/>
              </w:rPr>
              <w:t>nuous cooperation with the UNEP</w:t>
            </w:r>
            <w:r w:rsidR="005A5F58">
              <w:rPr>
                <w:lang w:val="en-US"/>
              </w:rPr>
              <w:t>, UNDESA</w:t>
            </w:r>
            <w:r w:rsidRPr="003B48A1">
              <w:rPr>
                <w:lang w:val="id-ID"/>
              </w:rPr>
              <w:t>)</w:t>
            </w:r>
          </w:p>
          <w:p w:rsidR="00A01A2A" w:rsidRPr="00652F81" w:rsidRDefault="00A01A2A" w:rsidP="00A01A2A">
            <w:pPr>
              <w:pStyle w:val="ListParagraph"/>
              <w:numPr>
                <w:ilvl w:val="0"/>
                <w:numId w:val="10"/>
              </w:numPr>
              <w:ind w:left="466"/>
              <w:rPr>
                <w:rFonts w:ascii="Cambria" w:hAnsi="Cambria"/>
              </w:rPr>
            </w:pPr>
            <w:r w:rsidRPr="00016268">
              <w:rPr>
                <w:lang w:val="en-CA"/>
              </w:rPr>
              <w:t>Search for and establish new partnerships</w:t>
            </w:r>
          </w:p>
        </w:tc>
      </w:tr>
    </w:tbl>
    <w:p w:rsidR="00345D40" w:rsidRPr="00345D40" w:rsidRDefault="00345D40" w:rsidP="005A5F58">
      <w:pPr>
        <w:rPr>
          <w:rFonts w:ascii="Cambria" w:hAnsi="Cambria"/>
        </w:rPr>
      </w:pPr>
    </w:p>
    <w:sectPr w:rsidR="00345D40" w:rsidRPr="00345D40" w:rsidSect="00652F81">
      <w:footerReference w:type="default" r:id="rId7"/>
      <w:pgSz w:w="16838" w:h="11906" w:orient="landscape" w:code="9"/>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DD" w:rsidRDefault="007772DD" w:rsidP="00345D40">
      <w:pPr>
        <w:spacing w:after="0" w:line="240" w:lineRule="auto"/>
      </w:pPr>
      <w:r>
        <w:separator/>
      </w:r>
    </w:p>
  </w:endnote>
  <w:endnote w:type="continuationSeparator" w:id="0">
    <w:p w:rsidR="007772DD" w:rsidRDefault="007772DD" w:rsidP="0034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171277"/>
      <w:docPartObj>
        <w:docPartGallery w:val="Page Numbers (Bottom of Page)"/>
        <w:docPartUnique/>
      </w:docPartObj>
    </w:sdtPr>
    <w:sdtEndPr>
      <w:rPr>
        <w:noProof/>
      </w:rPr>
    </w:sdtEndPr>
    <w:sdtContent>
      <w:p w:rsidR="004867C6" w:rsidRDefault="004867C6">
        <w:pPr>
          <w:pStyle w:val="Footer"/>
          <w:jc w:val="center"/>
        </w:pPr>
        <w:r>
          <w:fldChar w:fldCharType="begin"/>
        </w:r>
        <w:r>
          <w:instrText xml:space="preserve"> PAGE   \* MERGEFORMAT </w:instrText>
        </w:r>
        <w:r>
          <w:fldChar w:fldCharType="separate"/>
        </w:r>
        <w:r w:rsidR="00B27D0F">
          <w:rPr>
            <w:noProof/>
          </w:rPr>
          <w:t>1</w:t>
        </w:r>
        <w:r>
          <w:rPr>
            <w:noProof/>
          </w:rPr>
          <w:fldChar w:fldCharType="end"/>
        </w:r>
      </w:p>
    </w:sdtContent>
  </w:sdt>
  <w:p w:rsidR="004867C6" w:rsidRDefault="004867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DD" w:rsidRDefault="007772DD" w:rsidP="00345D40">
      <w:pPr>
        <w:spacing w:after="0" w:line="240" w:lineRule="auto"/>
      </w:pPr>
      <w:r>
        <w:separator/>
      </w:r>
    </w:p>
  </w:footnote>
  <w:footnote w:type="continuationSeparator" w:id="0">
    <w:p w:rsidR="007772DD" w:rsidRDefault="007772DD" w:rsidP="00345D40">
      <w:pPr>
        <w:spacing w:after="0" w:line="240" w:lineRule="auto"/>
      </w:pPr>
      <w:r>
        <w:continuationSeparator/>
      </w:r>
    </w:p>
  </w:footnote>
  <w:footnote w:id="1">
    <w:p w:rsidR="004867C6" w:rsidRPr="003A55C8" w:rsidRDefault="004867C6" w:rsidP="00345D40">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Pr>
          <w:sz w:val="16"/>
          <w:szCs w:val="16"/>
        </w:rPr>
        <w:t>Appropriate colour may be chosen as the background of the cell.</w:t>
      </w:r>
    </w:p>
  </w:footnote>
  <w:footnote w:id="2">
    <w:p w:rsidR="004867C6" w:rsidRDefault="004867C6" w:rsidP="00345D40">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4867C6" w:rsidRPr="003A55C8" w:rsidRDefault="004867C6" w:rsidP="00345D40">
      <w:pPr>
        <w:pStyle w:val="FootnoteText"/>
        <w:ind w:left="284" w:hanging="284"/>
        <w:rPr>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899"/>
    <w:multiLevelType w:val="hybridMultilevel"/>
    <w:tmpl w:val="822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A52"/>
    <w:multiLevelType w:val="hybridMultilevel"/>
    <w:tmpl w:val="BB06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12941"/>
    <w:multiLevelType w:val="hybridMultilevel"/>
    <w:tmpl w:val="B558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726B8"/>
    <w:multiLevelType w:val="hybridMultilevel"/>
    <w:tmpl w:val="4A0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C3336"/>
    <w:multiLevelType w:val="hybridMultilevel"/>
    <w:tmpl w:val="27ECFA2C"/>
    <w:lvl w:ilvl="0" w:tplc="A4083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E01D5"/>
    <w:multiLevelType w:val="hybridMultilevel"/>
    <w:tmpl w:val="FACAC4EE"/>
    <w:lvl w:ilvl="0" w:tplc="56883394">
      <w:start w:val="1"/>
      <w:numFmt w:val="bullet"/>
      <w:lvlText w:val="•"/>
      <w:lvlJc w:val="left"/>
      <w:pPr>
        <w:tabs>
          <w:tab w:val="num" w:pos="720"/>
        </w:tabs>
        <w:ind w:left="720" w:hanging="360"/>
      </w:pPr>
      <w:rPr>
        <w:rFonts w:ascii="Times New Roman" w:hAnsi="Times New Roman" w:hint="default"/>
      </w:rPr>
    </w:lvl>
    <w:lvl w:ilvl="1" w:tplc="46545EBA" w:tentative="1">
      <w:start w:val="1"/>
      <w:numFmt w:val="bullet"/>
      <w:lvlText w:val="•"/>
      <w:lvlJc w:val="left"/>
      <w:pPr>
        <w:tabs>
          <w:tab w:val="num" w:pos="1440"/>
        </w:tabs>
        <w:ind w:left="1440" w:hanging="360"/>
      </w:pPr>
      <w:rPr>
        <w:rFonts w:ascii="Times New Roman" w:hAnsi="Times New Roman" w:hint="default"/>
      </w:rPr>
    </w:lvl>
    <w:lvl w:ilvl="2" w:tplc="A1303D0E" w:tentative="1">
      <w:start w:val="1"/>
      <w:numFmt w:val="bullet"/>
      <w:lvlText w:val="•"/>
      <w:lvlJc w:val="left"/>
      <w:pPr>
        <w:tabs>
          <w:tab w:val="num" w:pos="2160"/>
        </w:tabs>
        <w:ind w:left="2160" w:hanging="360"/>
      </w:pPr>
      <w:rPr>
        <w:rFonts w:ascii="Times New Roman" w:hAnsi="Times New Roman" w:hint="default"/>
      </w:rPr>
    </w:lvl>
    <w:lvl w:ilvl="3" w:tplc="A17EF732" w:tentative="1">
      <w:start w:val="1"/>
      <w:numFmt w:val="bullet"/>
      <w:lvlText w:val="•"/>
      <w:lvlJc w:val="left"/>
      <w:pPr>
        <w:tabs>
          <w:tab w:val="num" w:pos="2880"/>
        </w:tabs>
        <w:ind w:left="2880" w:hanging="360"/>
      </w:pPr>
      <w:rPr>
        <w:rFonts w:ascii="Times New Roman" w:hAnsi="Times New Roman" w:hint="default"/>
      </w:rPr>
    </w:lvl>
    <w:lvl w:ilvl="4" w:tplc="D40C7EE0" w:tentative="1">
      <w:start w:val="1"/>
      <w:numFmt w:val="bullet"/>
      <w:lvlText w:val="•"/>
      <w:lvlJc w:val="left"/>
      <w:pPr>
        <w:tabs>
          <w:tab w:val="num" w:pos="3600"/>
        </w:tabs>
        <w:ind w:left="3600" w:hanging="360"/>
      </w:pPr>
      <w:rPr>
        <w:rFonts w:ascii="Times New Roman" w:hAnsi="Times New Roman" w:hint="default"/>
      </w:rPr>
    </w:lvl>
    <w:lvl w:ilvl="5" w:tplc="B8CC0980" w:tentative="1">
      <w:start w:val="1"/>
      <w:numFmt w:val="bullet"/>
      <w:lvlText w:val="•"/>
      <w:lvlJc w:val="left"/>
      <w:pPr>
        <w:tabs>
          <w:tab w:val="num" w:pos="4320"/>
        </w:tabs>
        <w:ind w:left="4320" w:hanging="360"/>
      </w:pPr>
      <w:rPr>
        <w:rFonts w:ascii="Times New Roman" w:hAnsi="Times New Roman" w:hint="default"/>
      </w:rPr>
    </w:lvl>
    <w:lvl w:ilvl="6" w:tplc="E13C5A2E" w:tentative="1">
      <w:start w:val="1"/>
      <w:numFmt w:val="bullet"/>
      <w:lvlText w:val="•"/>
      <w:lvlJc w:val="left"/>
      <w:pPr>
        <w:tabs>
          <w:tab w:val="num" w:pos="5040"/>
        </w:tabs>
        <w:ind w:left="5040" w:hanging="360"/>
      </w:pPr>
      <w:rPr>
        <w:rFonts w:ascii="Times New Roman" w:hAnsi="Times New Roman" w:hint="default"/>
      </w:rPr>
    </w:lvl>
    <w:lvl w:ilvl="7" w:tplc="3110A9BE" w:tentative="1">
      <w:start w:val="1"/>
      <w:numFmt w:val="bullet"/>
      <w:lvlText w:val="•"/>
      <w:lvlJc w:val="left"/>
      <w:pPr>
        <w:tabs>
          <w:tab w:val="num" w:pos="5760"/>
        </w:tabs>
        <w:ind w:left="5760" w:hanging="360"/>
      </w:pPr>
      <w:rPr>
        <w:rFonts w:ascii="Times New Roman" w:hAnsi="Times New Roman" w:hint="default"/>
      </w:rPr>
    </w:lvl>
    <w:lvl w:ilvl="8" w:tplc="487C53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9629C0"/>
    <w:multiLevelType w:val="hybridMultilevel"/>
    <w:tmpl w:val="EF5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555A8"/>
    <w:multiLevelType w:val="hybridMultilevel"/>
    <w:tmpl w:val="00565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3D2B"/>
    <w:multiLevelType w:val="hybridMultilevel"/>
    <w:tmpl w:val="B65C6A24"/>
    <w:lvl w:ilvl="0" w:tplc="740A0F44">
      <w:start w:val="1"/>
      <w:numFmt w:val="bullet"/>
      <w:lvlText w:val="•"/>
      <w:lvlJc w:val="left"/>
      <w:pPr>
        <w:tabs>
          <w:tab w:val="num" w:pos="720"/>
        </w:tabs>
        <w:ind w:left="720" w:hanging="360"/>
      </w:pPr>
      <w:rPr>
        <w:rFonts w:ascii="Times New Roman" w:hAnsi="Times New Roman" w:hint="default"/>
      </w:rPr>
    </w:lvl>
    <w:lvl w:ilvl="1" w:tplc="169EFC56" w:tentative="1">
      <w:start w:val="1"/>
      <w:numFmt w:val="bullet"/>
      <w:lvlText w:val="•"/>
      <w:lvlJc w:val="left"/>
      <w:pPr>
        <w:tabs>
          <w:tab w:val="num" w:pos="1440"/>
        </w:tabs>
        <w:ind w:left="1440" w:hanging="360"/>
      </w:pPr>
      <w:rPr>
        <w:rFonts w:ascii="Times New Roman" w:hAnsi="Times New Roman" w:hint="default"/>
      </w:rPr>
    </w:lvl>
    <w:lvl w:ilvl="2" w:tplc="20FA6C96" w:tentative="1">
      <w:start w:val="1"/>
      <w:numFmt w:val="bullet"/>
      <w:lvlText w:val="•"/>
      <w:lvlJc w:val="left"/>
      <w:pPr>
        <w:tabs>
          <w:tab w:val="num" w:pos="2160"/>
        </w:tabs>
        <w:ind w:left="2160" w:hanging="360"/>
      </w:pPr>
      <w:rPr>
        <w:rFonts w:ascii="Times New Roman" w:hAnsi="Times New Roman" w:hint="default"/>
      </w:rPr>
    </w:lvl>
    <w:lvl w:ilvl="3" w:tplc="14DED1C2" w:tentative="1">
      <w:start w:val="1"/>
      <w:numFmt w:val="bullet"/>
      <w:lvlText w:val="•"/>
      <w:lvlJc w:val="left"/>
      <w:pPr>
        <w:tabs>
          <w:tab w:val="num" w:pos="2880"/>
        </w:tabs>
        <w:ind w:left="2880" w:hanging="360"/>
      </w:pPr>
      <w:rPr>
        <w:rFonts w:ascii="Times New Roman" w:hAnsi="Times New Roman" w:hint="default"/>
      </w:rPr>
    </w:lvl>
    <w:lvl w:ilvl="4" w:tplc="99A49962" w:tentative="1">
      <w:start w:val="1"/>
      <w:numFmt w:val="bullet"/>
      <w:lvlText w:val="•"/>
      <w:lvlJc w:val="left"/>
      <w:pPr>
        <w:tabs>
          <w:tab w:val="num" w:pos="3600"/>
        </w:tabs>
        <w:ind w:left="3600" w:hanging="360"/>
      </w:pPr>
      <w:rPr>
        <w:rFonts w:ascii="Times New Roman" w:hAnsi="Times New Roman" w:hint="default"/>
      </w:rPr>
    </w:lvl>
    <w:lvl w:ilvl="5" w:tplc="D090AB28" w:tentative="1">
      <w:start w:val="1"/>
      <w:numFmt w:val="bullet"/>
      <w:lvlText w:val="•"/>
      <w:lvlJc w:val="left"/>
      <w:pPr>
        <w:tabs>
          <w:tab w:val="num" w:pos="4320"/>
        </w:tabs>
        <w:ind w:left="4320" w:hanging="360"/>
      </w:pPr>
      <w:rPr>
        <w:rFonts w:ascii="Times New Roman" w:hAnsi="Times New Roman" w:hint="default"/>
      </w:rPr>
    </w:lvl>
    <w:lvl w:ilvl="6" w:tplc="B2367070" w:tentative="1">
      <w:start w:val="1"/>
      <w:numFmt w:val="bullet"/>
      <w:lvlText w:val="•"/>
      <w:lvlJc w:val="left"/>
      <w:pPr>
        <w:tabs>
          <w:tab w:val="num" w:pos="5040"/>
        </w:tabs>
        <w:ind w:left="5040" w:hanging="360"/>
      </w:pPr>
      <w:rPr>
        <w:rFonts w:ascii="Times New Roman" w:hAnsi="Times New Roman" w:hint="default"/>
      </w:rPr>
    </w:lvl>
    <w:lvl w:ilvl="7" w:tplc="F1C0D7A0" w:tentative="1">
      <w:start w:val="1"/>
      <w:numFmt w:val="bullet"/>
      <w:lvlText w:val="•"/>
      <w:lvlJc w:val="left"/>
      <w:pPr>
        <w:tabs>
          <w:tab w:val="num" w:pos="5760"/>
        </w:tabs>
        <w:ind w:left="5760" w:hanging="360"/>
      </w:pPr>
      <w:rPr>
        <w:rFonts w:ascii="Times New Roman" w:hAnsi="Times New Roman" w:hint="default"/>
      </w:rPr>
    </w:lvl>
    <w:lvl w:ilvl="8" w:tplc="94DC64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107720"/>
    <w:multiLevelType w:val="hybridMultilevel"/>
    <w:tmpl w:val="3F808A78"/>
    <w:lvl w:ilvl="0" w:tplc="679AE48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0030CE5"/>
    <w:multiLevelType w:val="hybridMultilevel"/>
    <w:tmpl w:val="997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48DC"/>
    <w:multiLevelType w:val="hybridMultilevel"/>
    <w:tmpl w:val="A7B0AA72"/>
    <w:lvl w:ilvl="0" w:tplc="86AE4E42">
      <w:start w:val="1"/>
      <w:numFmt w:val="bullet"/>
      <w:lvlText w:val="•"/>
      <w:lvlJc w:val="left"/>
      <w:pPr>
        <w:tabs>
          <w:tab w:val="num" w:pos="720"/>
        </w:tabs>
        <w:ind w:left="720" w:hanging="360"/>
      </w:pPr>
      <w:rPr>
        <w:rFonts w:ascii="Times New Roman" w:hAnsi="Times New Roman" w:hint="default"/>
      </w:rPr>
    </w:lvl>
    <w:lvl w:ilvl="1" w:tplc="A5703790" w:tentative="1">
      <w:start w:val="1"/>
      <w:numFmt w:val="bullet"/>
      <w:lvlText w:val="•"/>
      <w:lvlJc w:val="left"/>
      <w:pPr>
        <w:tabs>
          <w:tab w:val="num" w:pos="1440"/>
        </w:tabs>
        <w:ind w:left="1440" w:hanging="360"/>
      </w:pPr>
      <w:rPr>
        <w:rFonts w:ascii="Times New Roman" w:hAnsi="Times New Roman" w:hint="default"/>
      </w:rPr>
    </w:lvl>
    <w:lvl w:ilvl="2" w:tplc="FB20A872" w:tentative="1">
      <w:start w:val="1"/>
      <w:numFmt w:val="bullet"/>
      <w:lvlText w:val="•"/>
      <w:lvlJc w:val="left"/>
      <w:pPr>
        <w:tabs>
          <w:tab w:val="num" w:pos="2160"/>
        </w:tabs>
        <w:ind w:left="2160" w:hanging="360"/>
      </w:pPr>
      <w:rPr>
        <w:rFonts w:ascii="Times New Roman" w:hAnsi="Times New Roman" w:hint="default"/>
      </w:rPr>
    </w:lvl>
    <w:lvl w:ilvl="3" w:tplc="895C07A6" w:tentative="1">
      <w:start w:val="1"/>
      <w:numFmt w:val="bullet"/>
      <w:lvlText w:val="•"/>
      <w:lvlJc w:val="left"/>
      <w:pPr>
        <w:tabs>
          <w:tab w:val="num" w:pos="2880"/>
        </w:tabs>
        <w:ind w:left="2880" w:hanging="360"/>
      </w:pPr>
      <w:rPr>
        <w:rFonts w:ascii="Times New Roman" w:hAnsi="Times New Roman" w:hint="default"/>
      </w:rPr>
    </w:lvl>
    <w:lvl w:ilvl="4" w:tplc="A4B65628" w:tentative="1">
      <w:start w:val="1"/>
      <w:numFmt w:val="bullet"/>
      <w:lvlText w:val="•"/>
      <w:lvlJc w:val="left"/>
      <w:pPr>
        <w:tabs>
          <w:tab w:val="num" w:pos="3600"/>
        </w:tabs>
        <w:ind w:left="3600" w:hanging="360"/>
      </w:pPr>
      <w:rPr>
        <w:rFonts w:ascii="Times New Roman" w:hAnsi="Times New Roman" w:hint="default"/>
      </w:rPr>
    </w:lvl>
    <w:lvl w:ilvl="5" w:tplc="CE30A2A8" w:tentative="1">
      <w:start w:val="1"/>
      <w:numFmt w:val="bullet"/>
      <w:lvlText w:val="•"/>
      <w:lvlJc w:val="left"/>
      <w:pPr>
        <w:tabs>
          <w:tab w:val="num" w:pos="4320"/>
        </w:tabs>
        <w:ind w:left="4320" w:hanging="360"/>
      </w:pPr>
      <w:rPr>
        <w:rFonts w:ascii="Times New Roman" w:hAnsi="Times New Roman" w:hint="default"/>
      </w:rPr>
    </w:lvl>
    <w:lvl w:ilvl="6" w:tplc="A8740162" w:tentative="1">
      <w:start w:val="1"/>
      <w:numFmt w:val="bullet"/>
      <w:lvlText w:val="•"/>
      <w:lvlJc w:val="left"/>
      <w:pPr>
        <w:tabs>
          <w:tab w:val="num" w:pos="5040"/>
        </w:tabs>
        <w:ind w:left="5040" w:hanging="360"/>
      </w:pPr>
      <w:rPr>
        <w:rFonts w:ascii="Times New Roman" w:hAnsi="Times New Roman" w:hint="default"/>
      </w:rPr>
    </w:lvl>
    <w:lvl w:ilvl="7" w:tplc="5082F34E" w:tentative="1">
      <w:start w:val="1"/>
      <w:numFmt w:val="bullet"/>
      <w:lvlText w:val="•"/>
      <w:lvlJc w:val="left"/>
      <w:pPr>
        <w:tabs>
          <w:tab w:val="num" w:pos="5760"/>
        </w:tabs>
        <w:ind w:left="5760" w:hanging="360"/>
      </w:pPr>
      <w:rPr>
        <w:rFonts w:ascii="Times New Roman" w:hAnsi="Times New Roman" w:hint="default"/>
      </w:rPr>
    </w:lvl>
    <w:lvl w:ilvl="8" w:tplc="860844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4E104C"/>
    <w:multiLevelType w:val="hybridMultilevel"/>
    <w:tmpl w:val="C07C0AF6"/>
    <w:lvl w:ilvl="0" w:tplc="C1904BB6">
      <w:start w:val="1"/>
      <w:numFmt w:val="bullet"/>
      <w:lvlText w:val="•"/>
      <w:lvlJc w:val="left"/>
      <w:pPr>
        <w:tabs>
          <w:tab w:val="num" w:pos="720"/>
        </w:tabs>
        <w:ind w:left="720" w:hanging="360"/>
      </w:pPr>
      <w:rPr>
        <w:rFonts w:ascii="Times New Roman" w:hAnsi="Times New Roman" w:hint="default"/>
      </w:rPr>
    </w:lvl>
    <w:lvl w:ilvl="1" w:tplc="D93204D2" w:tentative="1">
      <w:start w:val="1"/>
      <w:numFmt w:val="bullet"/>
      <w:lvlText w:val="•"/>
      <w:lvlJc w:val="left"/>
      <w:pPr>
        <w:tabs>
          <w:tab w:val="num" w:pos="1440"/>
        </w:tabs>
        <w:ind w:left="1440" w:hanging="360"/>
      </w:pPr>
      <w:rPr>
        <w:rFonts w:ascii="Times New Roman" w:hAnsi="Times New Roman" w:hint="default"/>
      </w:rPr>
    </w:lvl>
    <w:lvl w:ilvl="2" w:tplc="60DC74F8" w:tentative="1">
      <w:start w:val="1"/>
      <w:numFmt w:val="bullet"/>
      <w:lvlText w:val="•"/>
      <w:lvlJc w:val="left"/>
      <w:pPr>
        <w:tabs>
          <w:tab w:val="num" w:pos="2160"/>
        </w:tabs>
        <w:ind w:left="2160" w:hanging="360"/>
      </w:pPr>
      <w:rPr>
        <w:rFonts w:ascii="Times New Roman" w:hAnsi="Times New Roman" w:hint="default"/>
      </w:rPr>
    </w:lvl>
    <w:lvl w:ilvl="3" w:tplc="A9AA782A" w:tentative="1">
      <w:start w:val="1"/>
      <w:numFmt w:val="bullet"/>
      <w:lvlText w:val="•"/>
      <w:lvlJc w:val="left"/>
      <w:pPr>
        <w:tabs>
          <w:tab w:val="num" w:pos="2880"/>
        </w:tabs>
        <w:ind w:left="2880" w:hanging="360"/>
      </w:pPr>
      <w:rPr>
        <w:rFonts w:ascii="Times New Roman" w:hAnsi="Times New Roman" w:hint="default"/>
      </w:rPr>
    </w:lvl>
    <w:lvl w:ilvl="4" w:tplc="7012FB44" w:tentative="1">
      <w:start w:val="1"/>
      <w:numFmt w:val="bullet"/>
      <w:lvlText w:val="•"/>
      <w:lvlJc w:val="left"/>
      <w:pPr>
        <w:tabs>
          <w:tab w:val="num" w:pos="3600"/>
        </w:tabs>
        <w:ind w:left="3600" w:hanging="360"/>
      </w:pPr>
      <w:rPr>
        <w:rFonts w:ascii="Times New Roman" w:hAnsi="Times New Roman" w:hint="default"/>
      </w:rPr>
    </w:lvl>
    <w:lvl w:ilvl="5" w:tplc="2B2EF63C" w:tentative="1">
      <w:start w:val="1"/>
      <w:numFmt w:val="bullet"/>
      <w:lvlText w:val="•"/>
      <w:lvlJc w:val="left"/>
      <w:pPr>
        <w:tabs>
          <w:tab w:val="num" w:pos="4320"/>
        </w:tabs>
        <w:ind w:left="4320" w:hanging="360"/>
      </w:pPr>
      <w:rPr>
        <w:rFonts w:ascii="Times New Roman" w:hAnsi="Times New Roman" w:hint="default"/>
      </w:rPr>
    </w:lvl>
    <w:lvl w:ilvl="6" w:tplc="F95CE2CE" w:tentative="1">
      <w:start w:val="1"/>
      <w:numFmt w:val="bullet"/>
      <w:lvlText w:val="•"/>
      <w:lvlJc w:val="left"/>
      <w:pPr>
        <w:tabs>
          <w:tab w:val="num" w:pos="5040"/>
        </w:tabs>
        <w:ind w:left="5040" w:hanging="360"/>
      </w:pPr>
      <w:rPr>
        <w:rFonts w:ascii="Times New Roman" w:hAnsi="Times New Roman" w:hint="default"/>
      </w:rPr>
    </w:lvl>
    <w:lvl w:ilvl="7" w:tplc="9A7400BC" w:tentative="1">
      <w:start w:val="1"/>
      <w:numFmt w:val="bullet"/>
      <w:lvlText w:val="•"/>
      <w:lvlJc w:val="left"/>
      <w:pPr>
        <w:tabs>
          <w:tab w:val="num" w:pos="5760"/>
        </w:tabs>
        <w:ind w:left="5760" w:hanging="360"/>
      </w:pPr>
      <w:rPr>
        <w:rFonts w:ascii="Times New Roman" w:hAnsi="Times New Roman" w:hint="default"/>
      </w:rPr>
    </w:lvl>
    <w:lvl w:ilvl="8" w:tplc="9FC4D0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1E1D32"/>
    <w:multiLevelType w:val="hybridMultilevel"/>
    <w:tmpl w:val="82B0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10315"/>
    <w:multiLevelType w:val="hybridMultilevel"/>
    <w:tmpl w:val="D1684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B0918"/>
    <w:multiLevelType w:val="hybridMultilevel"/>
    <w:tmpl w:val="180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77F4E"/>
    <w:multiLevelType w:val="hybridMultilevel"/>
    <w:tmpl w:val="5D1E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2"/>
  </w:num>
  <w:num w:numId="6">
    <w:abstractNumId w:val="16"/>
  </w:num>
  <w:num w:numId="7">
    <w:abstractNumId w:val="14"/>
  </w:num>
  <w:num w:numId="8">
    <w:abstractNumId w:val="13"/>
  </w:num>
  <w:num w:numId="9">
    <w:abstractNumId w:val="10"/>
  </w:num>
  <w:num w:numId="10">
    <w:abstractNumId w:val="6"/>
  </w:num>
  <w:num w:numId="11">
    <w:abstractNumId w:val="15"/>
  </w:num>
  <w:num w:numId="12">
    <w:abstractNumId w:val="3"/>
  </w:num>
  <w:num w:numId="13">
    <w:abstractNumId w:val="11"/>
  </w:num>
  <w:num w:numId="14">
    <w:abstractNumId w:val="5"/>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40"/>
    <w:rsid w:val="000435DC"/>
    <w:rsid w:val="001A0723"/>
    <w:rsid w:val="002A1038"/>
    <w:rsid w:val="00345D40"/>
    <w:rsid w:val="003B40B1"/>
    <w:rsid w:val="004867C6"/>
    <w:rsid w:val="00520E63"/>
    <w:rsid w:val="0054764C"/>
    <w:rsid w:val="005A2C2F"/>
    <w:rsid w:val="005A5F58"/>
    <w:rsid w:val="00652F81"/>
    <w:rsid w:val="00672621"/>
    <w:rsid w:val="006F37E4"/>
    <w:rsid w:val="006F44CB"/>
    <w:rsid w:val="006F6DBB"/>
    <w:rsid w:val="0075214E"/>
    <w:rsid w:val="007772DD"/>
    <w:rsid w:val="00787DB2"/>
    <w:rsid w:val="00825714"/>
    <w:rsid w:val="008A2CB0"/>
    <w:rsid w:val="0099652A"/>
    <w:rsid w:val="009C34A4"/>
    <w:rsid w:val="00A01A2A"/>
    <w:rsid w:val="00B13461"/>
    <w:rsid w:val="00B27D0F"/>
    <w:rsid w:val="00B74236"/>
    <w:rsid w:val="00C06EFF"/>
    <w:rsid w:val="00CD7B24"/>
    <w:rsid w:val="00CE7E6D"/>
    <w:rsid w:val="00D33015"/>
    <w:rsid w:val="00D82EDB"/>
    <w:rsid w:val="00D96BAD"/>
    <w:rsid w:val="00F86385"/>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E1D3F-7F33-4CFF-A6B8-CC0262E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40"/>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40"/>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D40"/>
    <w:pPr>
      <w:ind w:left="720"/>
      <w:contextualSpacing/>
    </w:pPr>
  </w:style>
  <w:style w:type="paragraph" w:styleId="FootnoteText">
    <w:name w:val="footnote text"/>
    <w:basedOn w:val="Normal"/>
    <w:link w:val="FootnoteTextChar"/>
    <w:uiPriority w:val="99"/>
    <w:semiHidden/>
    <w:unhideWhenUsed/>
    <w:rsid w:val="00345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40"/>
    <w:rPr>
      <w:sz w:val="20"/>
      <w:szCs w:val="20"/>
      <w:lang w:val="en-ZA"/>
    </w:rPr>
  </w:style>
  <w:style w:type="character" w:styleId="FootnoteReference">
    <w:name w:val="footnote reference"/>
    <w:basedOn w:val="DefaultParagraphFont"/>
    <w:uiPriority w:val="99"/>
    <w:semiHidden/>
    <w:unhideWhenUsed/>
    <w:rsid w:val="00345D40"/>
    <w:rPr>
      <w:vertAlign w:val="superscript"/>
    </w:rPr>
  </w:style>
  <w:style w:type="paragraph" w:customStyle="1" w:styleId="Default">
    <w:name w:val="Default"/>
    <w:rsid w:val="00345D40"/>
    <w:pPr>
      <w:autoSpaceDE w:val="0"/>
      <w:autoSpaceDN w:val="0"/>
      <w:adjustRightInd w:val="0"/>
      <w:spacing w:after="0" w:line="240" w:lineRule="auto"/>
    </w:pPr>
    <w:rPr>
      <w:rFonts w:ascii="Calibri" w:hAnsi="Calibri" w:cs="Calibri"/>
      <w:color w:val="000000"/>
      <w:sz w:val="24"/>
      <w:szCs w:val="24"/>
      <w:lang w:val="en-ZA"/>
    </w:rPr>
  </w:style>
  <w:style w:type="paragraph" w:customStyle="1" w:styleId="tabletext">
    <w:name w:val="table_text"/>
    <w:rsid w:val="00CD7B24"/>
    <w:pPr>
      <w:spacing w:before="60" w:after="60" w:line="240" w:lineRule="auto"/>
    </w:pPr>
    <w:rPr>
      <w:rFonts w:ascii="Arial" w:eastAsia="Times New Roman" w:hAnsi="Arial" w:cs="Times New Roman"/>
      <w:bCs/>
      <w:sz w:val="20"/>
      <w:szCs w:val="20"/>
      <w:lang w:eastAsia="fr-CA"/>
    </w:rPr>
  </w:style>
  <w:style w:type="paragraph" w:styleId="Header">
    <w:name w:val="header"/>
    <w:basedOn w:val="Normal"/>
    <w:link w:val="HeaderChar"/>
    <w:uiPriority w:val="99"/>
    <w:unhideWhenUsed/>
    <w:rsid w:val="006F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CB"/>
    <w:rPr>
      <w:lang w:val="en-ZA"/>
    </w:rPr>
  </w:style>
  <w:style w:type="paragraph" w:styleId="Footer">
    <w:name w:val="footer"/>
    <w:basedOn w:val="Normal"/>
    <w:link w:val="FooterChar"/>
    <w:uiPriority w:val="99"/>
    <w:unhideWhenUsed/>
    <w:rsid w:val="006F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CB"/>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6108">
      <w:bodyDiv w:val="1"/>
      <w:marLeft w:val="0"/>
      <w:marRight w:val="0"/>
      <w:marTop w:val="0"/>
      <w:marBottom w:val="0"/>
      <w:divBdr>
        <w:top w:val="none" w:sz="0" w:space="0" w:color="auto"/>
        <w:left w:val="none" w:sz="0" w:space="0" w:color="auto"/>
        <w:bottom w:val="none" w:sz="0" w:space="0" w:color="auto"/>
        <w:right w:val="none" w:sz="0" w:space="0" w:color="auto"/>
      </w:divBdr>
      <w:divsChild>
        <w:div w:id="1570070942">
          <w:marLeft w:val="547"/>
          <w:marRight w:val="0"/>
          <w:marTop w:val="0"/>
          <w:marBottom w:val="0"/>
          <w:divBdr>
            <w:top w:val="none" w:sz="0" w:space="0" w:color="auto"/>
            <w:left w:val="none" w:sz="0" w:space="0" w:color="auto"/>
            <w:bottom w:val="none" w:sz="0" w:space="0" w:color="auto"/>
            <w:right w:val="none" w:sz="0" w:space="0" w:color="auto"/>
          </w:divBdr>
        </w:div>
        <w:div w:id="751321030">
          <w:marLeft w:val="547"/>
          <w:marRight w:val="0"/>
          <w:marTop w:val="0"/>
          <w:marBottom w:val="0"/>
          <w:divBdr>
            <w:top w:val="none" w:sz="0" w:space="0" w:color="auto"/>
            <w:left w:val="none" w:sz="0" w:space="0" w:color="auto"/>
            <w:bottom w:val="none" w:sz="0" w:space="0" w:color="auto"/>
            <w:right w:val="none" w:sz="0" w:space="0" w:color="auto"/>
          </w:divBdr>
        </w:div>
      </w:divsChild>
    </w:div>
    <w:div w:id="563561480">
      <w:bodyDiv w:val="1"/>
      <w:marLeft w:val="0"/>
      <w:marRight w:val="0"/>
      <w:marTop w:val="0"/>
      <w:marBottom w:val="0"/>
      <w:divBdr>
        <w:top w:val="none" w:sz="0" w:space="0" w:color="auto"/>
        <w:left w:val="none" w:sz="0" w:space="0" w:color="auto"/>
        <w:bottom w:val="none" w:sz="0" w:space="0" w:color="auto"/>
        <w:right w:val="none" w:sz="0" w:space="0" w:color="auto"/>
      </w:divBdr>
      <w:divsChild>
        <w:div w:id="696469193">
          <w:marLeft w:val="547"/>
          <w:marRight w:val="0"/>
          <w:marTop w:val="0"/>
          <w:marBottom w:val="0"/>
          <w:divBdr>
            <w:top w:val="none" w:sz="0" w:space="0" w:color="auto"/>
            <w:left w:val="none" w:sz="0" w:space="0" w:color="auto"/>
            <w:bottom w:val="none" w:sz="0" w:space="0" w:color="auto"/>
            <w:right w:val="none" w:sz="0" w:space="0" w:color="auto"/>
          </w:divBdr>
        </w:div>
      </w:divsChild>
    </w:div>
    <w:div w:id="1175613750">
      <w:bodyDiv w:val="1"/>
      <w:marLeft w:val="0"/>
      <w:marRight w:val="0"/>
      <w:marTop w:val="0"/>
      <w:marBottom w:val="0"/>
      <w:divBdr>
        <w:top w:val="none" w:sz="0" w:space="0" w:color="auto"/>
        <w:left w:val="none" w:sz="0" w:space="0" w:color="auto"/>
        <w:bottom w:val="none" w:sz="0" w:space="0" w:color="auto"/>
        <w:right w:val="none" w:sz="0" w:space="0" w:color="auto"/>
      </w:divBdr>
      <w:divsChild>
        <w:div w:id="526523073">
          <w:marLeft w:val="547"/>
          <w:marRight w:val="0"/>
          <w:marTop w:val="0"/>
          <w:marBottom w:val="0"/>
          <w:divBdr>
            <w:top w:val="none" w:sz="0" w:space="0" w:color="auto"/>
            <w:left w:val="none" w:sz="0" w:space="0" w:color="auto"/>
            <w:bottom w:val="none" w:sz="0" w:space="0" w:color="auto"/>
            <w:right w:val="none" w:sz="0" w:space="0" w:color="auto"/>
          </w:divBdr>
        </w:div>
        <w:div w:id="611010326">
          <w:marLeft w:val="547"/>
          <w:marRight w:val="0"/>
          <w:marTop w:val="0"/>
          <w:marBottom w:val="0"/>
          <w:divBdr>
            <w:top w:val="none" w:sz="0" w:space="0" w:color="auto"/>
            <w:left w:val="none" w:sz="0" w:space="0" w:color="auto"/>
            <w:bottom w:val="none" w:sz="0" w:space="0" w:color="auto"/>
            <w:right w:val="none" w:sz="0" w:space="0" w:color="auto"/>
          </w:divBdr>
        </w:div>
      </w:divsChild>
    </w:div>
    <w:div w:id="1790200979">
      <w:bodyDiv w:val="1"/>
      <w:marLeft w:val="0"/>
      <w:marRight w:val="0"/>
      <w:marTop w:val="0"/>
      <w:marBottom w:val="0"/>
      <w:divBdr>
        <w:top w:val="none" w:sz="0" w:space="0" w:color="auto"/>
        <w:left w:val="none" w:sz="0" w:space="0" w:color="auto"/>
        <w:bottom w:val="none" w:sz="0" w:space="0" w:color="auto"/>
        <w:right w:val="none" w:sz="0" w:space="0" w:color="auto"/>
      </w:divBdr>
    </w:div>
    <w:div w:id="1848322678">
      <w:bodyDiv w:val="1"/>
      <w:marLeft w:val="0"/>
      <w:marRight w:val="0"/>
      <w:marTop w:val="0"/>
      <w:marBottom w:val="0"/>
      <w:divBdr>
        <w:top w:val="none" w:sz="0" w:space="0" w:color="auto"/>
        <w:left w:val="none" w:sz="0" w:space="0" w:color="auto"/>
        <w:bottom w:val="none" w:sz="0" w:space="0" w:color="auto"/>
        <w:right w:val="none" w:sz="0" w:space="0" w:color="auto"/>
      </w:divBdr>
    </w:div>
    <w:div w:id="2063746991">
      <w:bodyDiv w:val="1"/>
      <w:marLeft w:val="0"/>
      <w:marRight w:val="0"/>
      <w:marTop w:val="0"/>
      <w:marBottom w:val="0"/>
      <w:divBdr>
        <w:top w:val="none" w:sz="0" w:space="0" w:color="auto"/>
        <w:left w:val="none" w:sz="0" w:space="0" w:color="auto"/>
        <w:bottom w:val="none" w:sz="0" w:space="0" w:color="auto"/>
        <w:right w:val="none" w:sz="0" w:space="0" w:color="auto"/>
      </w:divBdr>
      <w:divsChild>
        <w:div w:id="1684746092">
          <w:marLeft w:val="547"/>
          <w:marRight w:val="0"/>
          <w:marTop w:val="0"/>
          <w:marBottom w:val="0"/>
          <w:divBdr>
            <w:top w:val="none" w:sz="0" w:space="0" w:color="auto"/>
            <w:left w:val="none" w:sz="0" w:space="0" w:color="auto"/>
            <w:bottom w:val="none" w:sz="0" w:space="0" w:color="auto"/>
            <w:right w:val="none" w:sz="0" w:space="0" w:color="auto"/>
          </w:divBdr>
        </w:div>
        <w:div w:id="10614424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Dayvera Rosana</dc:creator>
  <cp:keywords/>
  <dc:description/>
  <cp:lastModifiedBy>Ami Rahmawati</cp:lastModifiedBy>
  <cp:revision>2</cp:revision>
  <dcterms:created xsi:type="dcterms:W3CDTF">2017-08-21T03:39:00Z</dcterms:created>
  <dcterms:modified xsi:type="dcterms:W3CDTF">2017-08-21T03:39:00Z</dcterms:modified>
</cp:coreProperties>
</file>