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A71" w:rsidRPr="00101A71" w:rsidRDefault="00101A71" w:rsidP="00101A71">
      <w:pPr>
        <w:jc w:val="center"/>
        <w:rPr>
          <w:b/>
          <w:sz w:val="32"/>
          <w:lang w:val="en-US"/>
        </w:rPr>
      </w:pPr>
      <w:bookmarkStart w:id="0" w:name="_GoBack"/>
      <w:bookmarkEnd w:id="0"/>
      <w:r w:rsidRPr="00101A71">
        <w:rPr>
          <w:b/>
          <w:sz w:val="32"/>
          <w:lang w:val="en-US"/>
        </w:rPr>
        <w:t>WG</w:t>
      </w:r>
      <w:r w:rsidR="000173F7">
        <w:rPr>
          <w:b/>
          <w:sz w:val="32"/>
          <w:lang w:val="en-US"/>
        </w:rPr>
        <w:t xml:space="preserve"> on Public Debt’s</w:t>
      </w:r>
      <w:r w:rsidRPr="00101A71">
        <w:rPr>
          <w:b/>
          <w:sz w:val="32"/>
          <w:lang w:val="en-US"/>
        </w:rPr>
        <w:t xml:space="preserve"> </w:t>
      </w:r>
      <w:r w:rsidR="000173F7">
        <w:rPr>
          <w:b/>
          <w:sz w:val="32"/>
          <w:lang w:val="en-US"/>
        </w:rPr>
        <w:t xml:space="preserve">Progress </w:t>
      </w:r>
      <w:r w:rsidRPr="00101A71">
        <w:rPr>
          <w:b/>
          <w:sz w:val="32"/>
          <w:lang w:val="en-US"/>
        </w:rPr>
        <w:t>Report</w:t>
      </w:r>
    </w:p>
    <w:p w:rsidR="00101A71" w:rsidRPr="000173F7" w:rsidRDefault="00101A71" w:rsidP="000676E4">
      <w:pPr>
        <w:jc w:val="center"/>
        <w:rPr>
          <w:b/>
          <w:sz w:val="32"/>
          <w:u w:val="single"/>
          <w:lang w:val="en-US"/>
        </w:rPr>
      </w:pPr>
      <w:r w:rsidRPr="000173F7">
        <w:rPr>
          <w:b/>
          <w:color w:val="C00000"/>
          <w:sz w:val="32"/>
          <w:u w:val="single"/>
          <w:lang w:val="en-US"/>
        </w:rPr>
        <w:t>Guide to project the Slides Presentation</w:t>
      </w:r>
      <w:r w:rsidRPr="000173F7">
        <w:rPr>
          <w:b/>
          <w:sz w:val="32"/>
          <w:u w:val="single"/>
          <w:lang w:val="en-US"/>
        </w:rPr>
        <w:t xml:space="preserve"> </w:t>
      </w:r>
    </w:p>
    <w:p w:rsidR="000676E4" w:rsidRPr="00101A71" w:rsidRDefault="000676E4">
      <w:pPr>
        <w:rPr>
          <w:lang w:val="en-US"/>
        </w:rPr>
      </w:pPr>
    </w:p>
    <w:tbl>
      <w:tblPr>
        <w:tblStyle w:val="TableGrid"/>
        <w:tblW w:w="10348" w:type="dxa"/>
        <w:tblInd w:w="-714" w:type="dxa"/>
        <w:tblLook w:val="04A0" w:firstRow="1" w:lastRow="0" w:firstColumn="1" w:lastColumn="0" w:noHBand="0" w:noVBand="1"/>
      </w:tblPr>
      <w:tblGrid>
        <w:gridCol w:w="5925"/>
        <w:gridCol w:w="4423"/>
      </w:tblGrid>
      <w:tr w:rsidR="00A44EB9" w:rsidTr="000173F7">
        <w:tc>
          <w:tcPr>
            <w:tcW w:w="5925" w:type="dxa"/>
            <w:shd w:val="clear" w:color="auto" w:fill="222A35" w:themeFill="text2" w:themeFillShade="80"/>
          </w:tcPr>
          <w:p w:rsidR="000676E4" w:rsidRPr="000676E4" w:rsidRDefault="000676E4" w:rsidP="000676E4">
            <w:pPr>
              <w:jc w:val="center"/>
              <w:rPr>
                <w:b/>
              </w:rPr>
            </w:pPr>
            <w:r w:rsidRPr="000676E4">
              <w:rPr>
                <w:b/>
              </w:rPr>
              <w:t>Text</w:t>
            </w:r>
          </w:p>
        </w:tc>
        <w:tc>
          <w:tcPr>
            <w:tcW w:w="4423" w:type="dxa"/>
            <w:shd w:val="clear" w:color="auto" w:fill="222A35" w:themeFill="text2" w:themeFillShade="80"/>
          </w:tcPr>
          <w:p w:rsidR="000676E4" w:rsidRPr="000676E4" w:rsidRDefault="00101A71" w:rsidP="00101A71">
            <w:pPr>
              <w:jc w:val="center"/>
              <w:rPr>
                <w:b/>
              </w:rPr>
            </w:pPr>
            <w:r>
              <w:rPr>
                <w:b/>
              </w:rPr>
              <w:t>Slide</w:t>
            </w:r>
          </w:p>
        </w:tc>
      </w:tr>
      <w:tr w:rsidR="00A44EB9" w:rsidRPr="00101A71" w:rsidTr="000173F7">
        <w:tc>
          <w:tcPr>
            <w:tcW w:w="5925" w:type="dxa"/>
          </w:tcPr>
          <w:p w:rsidR="00101A71" w:rsidRDefault="00101A71" w:rsidP="000676E4">
            <w:pPr>
              <w:pStyle w:val="Title"/>
              <w:jc w:val="both"/>
              <w:rPr>
                <w:rFonts w:ascii="Arial" w:hAnsi="Arial" w:cs="Arial"/>
                <w:b w:val="0"/>
                <w:lang w:val="en-US"/>
              </w:rPr>
            </w:pPr>
          </w:p>
          <w:p w:rsidR="000676E4" w:rsidRPr="00E23E29" w:rsidRDefault="000676E4" w:rsidP="000676E4">
            <w:pPr>
              <w:pStyle w:val="Title"/>
              <w:jc w:val="both"/>
              <w:rPr>
                <w:rFonts w:ascii="Arial" w:hAnsi="Arial" w:cs="Arial"/>
                <w:b w:val="0"/>
                <w:lang w:val="en-US"/>
              </w:rPr>
            </w:pPr>
            <w:r w:rsidRPr="00E23E29">
              <w:rPr>
                <w:rFonts w:ascii="Arial" w:hAnsi="Arial" w:cs="Arial"/>
                <w:b w:val="0"/>
                <w:lang w:val="en-US"/>
              </w:rPr>
              <w:t xml:space="preserve">Dear </w:t>
            </w:r>
            <w:r>
              <w:rPr>
                <w:rFonts w:ascii="Arial" w:hAnsi="Arial" w:cs="Arial"/>
                <w:b w:val="0"/>
                <w:lang w:val="en-US"/>
              </w:rPr>
              <w:t>colleagues,</w:t>
            </w:r>
          </w:p>
          <w:p w:rsidR="000676E4" w:rsidRPr="00E23E29" w:rsidRDefault="000676E4" w:rsidP="000676E4">
            <w:pPr>
              <w:pStyle w:val="Title"/>
              <w:tabs>
                <w:tab w:val="left" w:pos="3273"/>
              </w:tabs>
              <w:jc w:val="both"/>
              <w:rPr>
                <w:rFonts w:ascii="Arial" w:eastAsiaTheme="minorEastAsia" w:hAnsi="Arial" w:cs="Arial"/>
                <w:b w:val="0"/>
                <w:bCs w:val="0"/>
                <w:lang w:val="en-US" w:eastAsia="es-MX"/>
              </w:rPr>
            </w:pPr>
          </w:p>
          <w:p w:rsidR="000676E4" w:rsidRDefault="000676E4" w:rsidP="00101A71">
            <w:pPr>
              <w:pStyle w:val="Title"/>
              <w:jc w:val="both"/>
              <w:rPr>
                <w:rFonts w:ascii="Arial" w:hAnsi="Arial" w:cs="Arial"/>
                <w:b w:val="0"/>
                <w:lang w:val="en-US"/>
              </w:rPr>
            </w:pPr>
            <w:r w:rsidRPr="00E23E29">
              <w:rPr>
                <w:rFonts w:ascii="Arial" w:hAnsi="Arial" w:cs="Arial"/>
                <w:b w:val="0"/>
                <w:lang w:val="en-US"/>
              </w:rPr>
              <w:t xml:space="preserve">I am pleased to present, </w:t>
            </w:r>
            <w:r w:rsidR="00101A71">
              <w:rPr>
                <w:rFonts w:ascii="Arial" w:hAnsi="Arial" w:cs="Arial"/>
                <w:b w:val="0"/>
                <w:lang w:val="en-US"/>
              </w:rPr>
              <w:t xml:space="preserve">on behalf of Mr. Juan M. Portal, Auditor General of Mexico and </w:t>
            </w:r>
            <w:r w:rsidRPr="00E23E29">
              <w:rPr>
                <w:rFonts w:ascii="Arial" w:hAnsi="Arial" w:cs="Arial"/>
                <w:b w:val="0"/>
                <w:lang w:val="en-US"/>
              </w:rPr>
              <w:t xml:space="preserve">Chairman of the Working Group on Public Debt, the report of this INTOSAI entity’s activities since the </w:t>
            </w:r>
            <w:r>
              <w:rPr>
                <w:rFonts w:ascii="Arial" w:hAnsi="Arial" w:cs="Arial"/>
                <w:b w:val="0"/>
                <w:lang w:val="en-US"/>
              </w:rPr>
              <w:t>6</w:t>
            </w:r>
            <w:r w:rsidRPr="00E23E29">
              <w:rPr>
                <w:rFonts w:ascii="Arial" w:hAnsi="Arial" w:cs="Arial"/>
                <w:b w:val="0"/>
                <w:vertAlign w:val="superscript"/>
                <w:lang w:val="en-US"/>
              </w:rPr>
              <w:t>th</w:t>
            </w:r>
            <w:r w:rsidRPr="00E23E29">
              <w:rPr>
                <w:rFonts w:ascii="Arial" w:hAnsi="Arial" w:cs="Arial"/>
                <w:b w:val="0"/>
                <w:lang w:val="en-US"/>
              </w:rPr>
              <w:t xml:space="preserve"> meeting of the </w:t>
            </w:r>
            <w:r>
              <w:rPr>
                <w:rFonts w:ascii="Arial" w:hAnsi="Arial" w:cs="Arial"/>
                <w:b w:val="0"/>
                <w:lang w:val="en-US"/>
              </w:rPr>
              <w:t>KSC Steering Committee in Cairo, in October 2014</w:t>
            </w:r>
            <w:r w:rsidRPr="00E23E29">
              <w:rPr>
                <w:rFonts w:ascii="Arial" w:hAnsi="Arial" w:cs="Arial"/>
                <w:b w:val="0"/>
                <w:lang w:val="en-US"/>
              </w:rPr>
              <w:t>.</w:t>
            </w:r>
          </w:p>
          <w:p w:rsidR="00166519" w:rsidRPr="000676E4" w:rsidRDefault="00166519" w:rsidP="00101A71">
            <w:pPr>
              <w:pStyle w:val="Title"/>
              <w:jc w:val="both"/>
              <w:rPr>
                <w:rFonts w:ascii="Arial" w:hAnsi="Arial" w:cs="Arial"/>
                <w:b w:val="0"/>
                <w:lang w:val="en-US"/>
              </w:rPr>
            </w:pPr>
          </w:p>
        </w:tc>
        <w:tc>
          <w:tcPr>
            <w:tcW w:w="4423" w:type="dxa"/>
          </w:tcPr>
          <w:p w:rsidR="000676E4" w:rsidRPr="00101A71" w:rsidRDefault="000676E4" w:rsidP="00101A71">
            <w:pPr>
              <w:jc w:val="center"/>
              <w:rPr>
                <w:lang w:val="en-US"/>
              </w:rPr>
            </w:pPr>
            <w:r w:rsidRPr="000676E4">
              <w:rPr>
                <w:noProof/>
                <w:lang w:val="en-IN" w:eastAsia="en-IN" w:bidi="hi-IN"/>
              </w:rPr>
              <w:drawing>
                <wp:inline distT="0" distB="0" distL="0" distR="0" wp14:anchorId="7D25F679" wp14:editId="346D8136">
                  <wp:extent cx="2360140" cy="1770105"/>
                  <wp:effectExtent l="0" t="0" r="254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85170" cy="1788877"/>
                          </a:xfrm>
                          <a:prstGeom prst="rect">
                            <a:avLst/>
                          </a:prstGeom>
                        </pic:spPr>
                      </pic:pic>
                    </a:graphicData>
                  </a:graphic>
                </wp:inline>
              </w:drawing>
            </w:r>
          </w:p>
        </w:tc>
      </w:tr>
      <w:tr w:rsidR="00101A71" w:rsidTr="000173F7">
        <w:tc>
          <w:tcPr>
            <w:tcW w:w="5925" w:type="dxa"/>
          </w:tcPr>
          <w:p w:rsidR="00101A71" w:rsidRPr="000676E4" w:rsidRDefault="00101A71" w:rsidP="00101A71">
            <w:pPr>
              <w:pStyle w:val="Title"/>
              <w:tabs>
                <w:tab w:val="left" w:pos="3273"/>
              </w:tabs>
              <w:jc w:val="both"/>
              <w:rPr>
                <w:rFonts w:ascii="Arial" w:hAnsi="Arial" w:cs="Arial"/>
                <w:b w:val="0"/>
                <w:lang w:val="en-US"/>
              </w:rPr>
            </w:pPr>
            <w:r w:rsidRPr="00E23E29">
              <w:rPr>
                <w:rFonts w:ascii="Arial" w:hAnsi="Arial" w:cs="Arial"/>
                <w:b w:val="0"/>
                <w:lang w:val="en-US"/>
              </w:rPr>
              <w:t>Our annual meeting took place from July 22 to 24, 2015 in Livingstone, Zambia, with the participation of 36 delegates representing 13 member SAIs, namely</w:t>
            </w:r>
            <w:r w:rsidRPr="00E23E29">
              <w:rPr>
                <w:rFonts w:ascii="Arial" w:hAnsi="Arial" w:cs="Arial"/>
                <w:lang w:val="en-US"/>
              </w:rPr>
              <w:t xml:space="preserve">: </w:t>
            </w:r>
            <w:r w:rsidRPr="00E23E29">
              <w:rPr>
                <w:rFonts w:ascii="Arial" w:hAnsi="Arial" w:cs="Arial"/>
                <w:b w:val="0"/>
                <w:lang w:val="en-US"/>
              </w:rPr>
              <w:t xml:space="preserve">Argentina, Austria, Brazil, Chile, China, Finland, India, Mexico, Portugal, Ukraine, South Korea, United States of America, and Zambia. </w:t>
            </w:r>
          </w:p>
        </w:tc>
        <w:tc>
          <w:tcPr>
            <w:tcW w:w="4423" w:type="dxa"/>
          </w:tcPr>
          <w:p w:rsidR="00101A71" w:rsidRDefault="00101A71" w:rsidP="00101A71">
            <w:pPr>
              <w:jc w:val="center"/>
            </w:pPr>
            <w:r w:rsidRPr="00101A71">
              <w:rPr>
                <w:noProof/>
                <w:lang w:val="en-IN" w:eastAsia="en-IN" w:bidi="hi-IN"/>
              </w:rPr>
              <w:drawing>
                <wp:inline distT="0" distB="0" distL="0" distR="0" wp14:anchorId="4E02868A" wp14:editId="51F03705">
                  <wp:extent cx="2343573" cy="175768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43573" cy="1757680"/>
                          </a:xfrm>
                          <a:prstGeom prst="rect">
                            <a:avLst/>
                          </a:prstGeom>
                        </pic:spPr>
                      </pic:pic>
                    </a:graphicData>
                  </a:graphic>
                </wp:inline>
              </w:drawing>
            </w:r>
          </w:p>
        </w:tc>
      </w:tr>
      <w:tr w:rsidR="00101A71" w:rsidTr="000173F7">
        <w:trPr>
          <w:trHeight w:val="3129"/>
        </w:trPr>
        <w:tc>
          <w:tcPr>
            <w:tcW w:w="5925" w:type="dxa"/>
          </w:tcPr>
          <w:p w:rsidR="00101A71" w:rsidRPr="000676E4" w:rsidRDefault="00101A71" w:rsidP="000676E4">
            <w:pPr>
              <w:pStyle w:val="Title"/>
              <w:tabs>
                <w:tab w:val="left" w:pos="3273"/>
              </w:tabs>
              <w:jc w:val="both"/>
              <w:rPr>
                <w:rFonts w:ascii="Arial" w:hAnsi="Arial" w:cs="Arial"/>
                <w:b w:val="0"/>
                <w:lang w:val="en-US"/>
              </w:rPr>
            </w:pPr>
            <w:r w:rsidRPr="00E23E29">
              <w:rPr>
                <w:rFonts w:ascii="Arial" w:hAnsi="Arial" w:cs="Arial"/>
                <w:b w:val="0"/>
                <w:lang w:val="en-US"/>
              </w:rPr>
              <w:t>Representatives from the INTOSAI Development Initiative (IDI), the United Nations Conference on Trade and Development (UNCTAD), the Secretariat of the Organization of English-speaking African Supreme Audit Institutions (AFROSAI-E), and the German Agency of International Cooperation (GIZ), also attended the meeting.</w:t>
            </w:r>
          </w:p>
        </w:tc>
        <w:tc>
          <w:tcPr>
            <w:tcW w:w="4423" w:type="dxa"/>
          </w:tcPr>
          <w:p w:rsidR="00101A71" w:rsidRDefault="00101A71" w:rsidP="00101A71">
            <w:pPr>
              <w:jc w:val="center"/>
            </w:pPr>
            <w:r w:rsidRPr="00101A71">
              <w:rPr>
                <w:noProof/>
                <w:lang w:val="en-IN" w:eastAsia="en-IN" w:bidi="hi-IN"/>
              </w:rPr>
              <w:drawing>
                <wp:inline distT="0" distB="0" distL="0" distR="0" wp14:anchorId="1B935527" wp14:editId="7E367149">
                  <wp:extent cx="2323070" cy="1742303"/>
                  <wp:effectExtent l="0" t="0" r="127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25384" cy="1744038"/>
                          </a:xfrm>
                          <a:prstGeom prst="rect">
                            <a:avLst/>
                          </a:prstGeom>
                        </pic:spPr>
                      </pic:pic>
                    </a:graphicData>
                  </a:graphic>
                </wp:inline>
              </w:drawing>
            </w:r>
          </w:p>
        </w:tc>
      </w:tr>
      <w:tr w:rsidR="00A44EB9" w:rsidTr="000173F7">
        <w:tc>
          <w:tcPr>
            <w:tcW w:w="5925" w:type="dxa"/>
          </w:tcPr>
          <w:p w:rsidR="000676E4" w:rsidRPr="000676E4" w:rsidRDefault="000676E4" w:rsidP="000676E4">
            <w:pPr>
              <w:jc w:val="both"/>
              <w:rPr>
                <w:lang w:val="en-US"/>
              </w:rPr>
            </w:pPr>
            <w:r w:rsidRPr="00E23E29">
              <w:rPr>
                <w:rFonts w:ascii="Arial" w:hAnsi="Arial" w:cs="Arial"/>
                <w:sz w:val="24"/>
                <w:szCs w:val="24"/>
                <w:lang w:val="en-US"/>
              </w:rPr>
              <w:t>I would like to highlight the work carried out in relation to the ISSAIs Harmonization Project. Considering the Professional Standards Committee’s revision of the ISSAI Framework, during the last years the Working Group has also revised the existing professional standards on public debt to ensure its validity and relevance.</w:t>
            </w:r>
          </w:p>
        </w:tc>
        <w:tc>
          <w:tcPr>
            <w:tcW w:w="4423" w:type="dxa"/>
          </w:tcPr>
          <w:p w:rsidR="000676E4" w:rsidRDefault="000676E4" w:rsidP="00101A71">
            <w:pPr>
              <w:jc w:val="center"/>
            </w:pPr>
            <w:r w:rsidRPr="000676E4">
              <w:rPr>
                <w:noProof/>
                <w:lang w:val="en-IN" w:eastAsia="en-IN" w:bidi="hi-IN"/>
              </w:rPr>
              <w:drawing>
                <wp:inline distT="0" distB="0" distL="0" distR="0" wp14:anchorId="0A8D8D49" wp14:editId="7371E9F4">
                  <wp:extent cx="2150076" cy="1612557"/>
                  <wp:effectExtent l="0" t="0" r="3175"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63787" cy="1622840"/>
                          </a:xfrm>
                          <a:prstGeom prst="rect">
                            <a:avLst/>
                          </a:prstGeom>
                        </pic:spPr>
                      </pic:pic>
                    </a:graphicData>
                  </a:graphic>
                </wp:inline>
              </w:drawing>
            </w:r>
          </w:p>
        </w:tc>
      </w:tr>
      <w:tr w:rsidR="00A44EB9" w:rsidTr="000173F7">
        <w:tc>
          <w:tcPr>
            <w:tcW w:w="5925" w:type="dxa"/>
          </w:tcPr>
          <w:p w:rsidR="000676E4" w:rsidRPr="00C24081" w:rsidRDefault="00C24081" w:rsidP="00C24081">
            <w:pPr>
              <w:jc w:val="both"/>
              <w:rPr>
                <w:lang w:val="en-US"/>
              </w:rPr>
            </w:pPr>
            <w:r w:rsidRPr="00E23E29">
              <w:rPr>
                <w:rFonts w:ascii="Arial" w:hAnsi="Arial" w:cs="Arial"/>
                <w:sz w:val="24"/>
                <w:szCs w:val="24"/>
                <w:lang w:val="en-US"/>
              </w:rPr>
              <w:lastRenderedPageBreak/>
              <w:t xml:space="preserve">Five key criteria </w:t>
            </w:r>
            <w:r>
              <w:rPr>
                <w:rFonts w:ascii="Arial" w:hAnsi="Arial" w:cs="Arial"/>
                <w:sz w:val="24"/>
                <w:szCs w:val="24"/>
                <w:lang w:val="en-US"/>
              </w:rPr>
              <w:t>were</w:t>
            </w:r>
            <w:r w:rsidRPr="00E23E29">
              <w:rPr>
                <w:rFonts w:ascii="Arial" w:hAnsi="Arial" w:cs="Arial"/>
                <w:sz w:val="24"/>
                <w:szCs w:val="24"/>
                <w:lang w:val="en-US"/>
              </w:rPr>
              <w:t xml:space="preserve"> considered during this revision: usefulness, updating required, potential harmonization with other Working Group’s products, alignment to other standards in the ISSAI Framework, and harmonization of the general ISSAI terminology, considering particularly the recently revision by the PSC of ISSAIs 100 to 400.</w:t>
            </w:r>
          </w:p>
        </w:tc>
        <w:tc>
          <w:tcPr>
            <w:tcW w:w="4423" w:type="dxa"/>
          </w:tcPr>
          <w:p w:rsidR="000676E4" w:rsidRDefault="000676E4" w:rsidP="00101A71">
            <w:pPr>
              <w:jc w:val="center"/>
            </w:pPr>
            <w:r w:rsidRPr="000676E4">
              <w:rPr>
                <w:noProof/>
                <w:lang w:val="en-IN" w:eastAsia="en-IN" w:bidi="hi-IN"/>
              </w:rPr>
              <w:drawing>
                <wp:inline distT="0" distB="0" distL="0" distR="0" wp14:anchorId="208F288E" wp14:editId="2F13A1DC">
                  <wp:extent cx="2248930" cy="1686697"/>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67527" cy="1700644"/>
                          </a:xfrm>
                          <a:prstGeom prst="rect">
                            <a:avLst/>
                          </a:prstGeom>
                        </pic:spPr>
                      </pic:pic>
                    </a:graphicData>
                  </a:graphic>
                </wp:inline>
              </w:drawing>
            </w:r>
          </w:p>
        </w:tc>
      </w:tr>
      <w:tr w:rsidR="00A44EB9" w:rsidTr="000173F7">
        <w:tc>
          <w:tcPr>
            <w:tcW w:w="5925" w:type="dxa"/>
          </w:tcPr>
          <w:p w:rsidR="00C24081" w:rsidRPr="00E23E29" w:rsidRDefault="00C24081" w:rsidP="00C24081">
            <w:pPr>
              <w:jc w:val="both"/>
              <w:rPr>
                <w:rFonts w:ascii="Arial" w:hAnsi="Arial" w:cs="Arial"/>
                <w:sz w:val="24"/>
                <w:szCs w:val="24"/>
                <w:lang w:val="en-US"/>
              </w:rPr>
            </w:pPr>
            <w:r w:rsidRPr="00E23E29">
              <w:rPr>
                <w:rFonts w:ascii="Arial" w:hAnsi="Arial" w:cs="Arial"/>
                <w:sz w:val="24"/>
                <w:szCs w:val="24"/>
                <w:lang w:val="en-US"/>
              </w:rPr>
              <w:t>This effort has concluded. Following the ISSAI Due Process, the Working Group members approved the revised version of the following standards:</w:t>
            </w:r>
          </w:p>
          <w:p w:rsidR="00C24081" w:rsidRPr="00E23E29" w:rsidRDefault="00C24081" w:rsidP="00C24081">
            <w:pPr>
              <w:pStyle w:val="ListParagraph"/>
              <w:numPr>
                <w:ilvl w:val="0"/>
                <w:numId w:val="1"/>
              </w:numPr>
              <w:spacing w:after="0" w:line="240" w:lineRule="auto"/>
              <w:jc w:val="both"/>
              <w:rPr>
                <w:rFonts w:ascii="Arial" w:hAnsi="Arial" w:cs="Arial"/>
                <w:sz w:val="24"/>
                <w:szCs w:val="24"/>
                <w:lang w:val="en-US"/>
              </w:rPr>
            </w:pPr>
            <w:r w:rsidRPr="00E23E29">
              <w:rPr>
                <w:rFonts w:ascii="Arial" w:hAnsi="Arial" w:cs="Arial"/>
                <w:sz w:val="24"/>
                <w:szCs w:val="24"/>
                <w:lang w:val="en-US"/>
              </w:rPr>
              <w:t>ISSAI 5410 “Guidance for Planning and Conducting an Audit of Internal Controls of Public Debt”.</w:t>
            </w:r>
          </w:p>
          <w:p w:rsidR="00C24081" w:rsidRPr="00E23E29" w:rsidRDefault="00C24081" w:rsidP="00C24081">
            <w:pPr>
              <w:pStyle w:val="ListParagraph"/>
              <w:numPr>
                <w:ilvl w:val="0"/>
                <w:numId w:val="1"/>
              </w:numPr>
              <w:spacing w:after="0" w:line="240" w:lineRule="auto"/>
              <w:jc w:val="both"/>
              <w:rPr>
                <w:rFonts w:ascii="Arial" w:hAnsi="Arial" w:cs="Arial"/>
                <w:sz w:val="24"/>
                <w:szCs w:val="24"/>
                <w:lang w:val="en-US"/>
              </w:rPr>
            </w:pPr>
            <w:r w:rsidRPr="00E23E29">
              <w:rPr>
                <w:rFonts w:ascii="Arial" w:hAnsi="Arial" w:cs="Arial"/>
                <w:sz w:val="24"/>
                <w:szCs w:val="24"/>
                <w:lang w:val="en-US"/>
              </w:rPr>
              <w:t xml:space="preserve">ISSAI 5421 “Guidance on Definition and Disclosure of Public Debt”. </w:t>
            </w:r>
          </w:p>
          <w:p w:rsidR="00C24081" w:rsidRPr="00E23E29" w:rsidRDefault="00C24081" w:rsidP="00C24081">
            <w:pPr>
              <w:pStyle w:val="ListParagraph"/>
              <w:numPr>
                <w:ilvl w:val="0"/>
                <w:numId w:val="1"/>
              </w:numPr>
              <w:spacing w:after="0" w:line="240" w:lineRule="auto"/>
              <w:jc w:val="both"/>
              <w:rPr>
                <w:rFonts w:ascii="Arial" w:hAnsi="Arial" w:cs="Arial"/>
                <w:sz w:val="24"/>
                <w:szCs w:val="24"/>
                <w:lang w:val="en-US"/>
              </w:rPr>
            </w:pPr>
            <w:r w:rsidRPr="00E23E29">
              <w:rPr>
                <w:rFonts w:ascii="Arial" w:hAnsi="Arial" w:cs="Arial"/>
                <w:sz w:val="24"/>
                <w:szCs w:val="24"/>
                <w:lang w:val="en-US"/>
              </w:rPr>
              <w:t>ISSAI 5422 “An Exercise of Reference Terms to Carry out Performance Audit of Public Debt”.</w:t>
            </w:r>
          </w:p>
          <w:p w:rsidR="000676E4" w:rsidRDefault="00C24081" w:rsidP="00C24081">
            <w:pPr>
              <w:pStyle w:val="ListParagraph"/>
              <w:numPr>
                <w:ilvl w:val="0"/>
                <w:numId w:val="1"/>
              </w:numPr>
              <w:spacing w:after="0" w:line="240" w:lineRule="auto"/>
              <w:jc w:val="both"/>
              <w:rPr>
                <w:rFonts w:ascii="Arial" w:hAnsi="Arial" w:cs="Arial"/>
                <w:sz w:val="24"/>
                <w:szCs w:val="24"/>
                <w:lang w:val="en-US"/>
              </w:rPr>
            </w:pPr>
            <w:r w:rsidRPr="00E23E29">
              <w:rPr>
                <w:rFonts w:ascii="Arial" w:hAnsi="Arial" w:cs="Arial"/>
                <w:sz w:val="24"/>
                <w:szCs w:val="24"/>
                <w:lang w:val="en-US"/>
              </w:rPr>
              <w:t>ISSAI 5430 “Fiscal Exposures: Implications for Debt Management and the Role of SAIs”.</w:t>
            </w:r>
          </w:p>
          <w:p w:rsidR="00166519" w:rsidRPr="00C24081" w:rsidRDefault="00166519" w:rsidP="00166519">
            <w:pPr>
              <w:pStyle w:val="ListParagraph"/>
              <w:spacing w:after="0" w:line="240" w:lineRule="auto"/>
              <w:ind w:left="1080"/>
              <w:jc w:val="both"/>
              <w:rPr>
                <w:rFonts w:ascii="Arial" w:hAnsi="Arial" w:cs="Arial"/>
                <w:sz w:val="24"/>
                <w:szCs w:val="24"/>
                <w:lang w:val="en-US"/>
              </w:rPr>
            </w:pPr>
          </w:p>
        </w:tc>
        <w:tc>
          <w:tcPr>
            <w:tcW w:w="4423" w:type="dxa"/>
          </w:tcPr>
          <w:p w:rsidR="000676E4" w:rsidRDefault="00101A71" w:rsidP="00101A71">
            <w:pPr>
              <w:jc w:val="center"/>
            </w:pPr>
            <w:r w:rsidRPr="00101A71">
              <w:rPr>
                <w:noProof/>
                <w:lang w:val="en-IN" w:eastAsia="en-IN" w:bidi="hi-IN"/>
              </w:rPr>
              <w:drawing>
                <wp:inline distT="0" distB="0" distL="0" distR="0" wp14:anchorId="53546B15" wp14:editId="689CF94A">
                  <wp:extent cx="2347783" cy="1760838"/>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348111" cy="1761084"/>
                          </a:xfrm>
                          <a:prstGeom prst="rect">
                            <a:avLst/>
                          </a:prstGeom>
                        </pic:spPr>
                      </pic:pic>
                    </a:graphicData>
                  </a:graphic>
                </wp:inline>
              </w:drawing>
            </w:r>
          </w:p>
        </w:tc>
      </w:tr>
      <w:tr w:rsidR="00A44EB9" w:rsidTr="000173F7">
        <w:tc>
          <w:tcPr>
            <w:tcW w:w="5925" w:type="dxa"/>
          </w:tcPr>
          <w:p w:rsidR="00C24081" w:rsidRPr="00E23E29" w:rsidRDefault="00C24081" w:rsidP="00C24081">
            <w:pPr>
              <w:jc w:val="both"/>
              <w:rPr>
                <w:rFonts w:ascii="Arial" w:hAnsi="Arial" w:cs="Arial"/>
                <w:sz w:val="24"/>
                <w:szCs w:val="24"/>
                <w:lang w:val="en-US"/>
              </w:rPr>
            </w:pPr>
            <w:r w:rsidRPr="00E23E29">
              <w:rPr>
                <w:rFonts w:ascii="Arial" w:hAnsi="Arial" w:cs="Arial"/>
                <w:sz w:val="24"/>
                <w:szCs w:val="24"/>
                <w:lang w:val="en-US"/>
              </w:rPr>
              <w:t xml:space="preserve">Hereby I kindly ask the </w:t>
            </w:r>
            <w:r>
              <w:rPr>
                <w:rFonts w:ascii="Arial" w:hAnsi="Arial" w:cs="Arial"/>
                <w:sz w:val="24"/>
                <w:szCs w:val="24"/>
                <w:lang w:val="en-US"/>
              </w:rPr>
              <w:t>members of the KSC Steering Committee n</w:t>
            </w:r>
            <w:r w:rsidRPr="00E23E29">
              <w:rPr>
                <w:rFonts w:ascii="Arial" w:hAnsi="Arial" w:cs="Arial"/>
                <w:sz w:val="24"/>
                <w:szCs w:val="24"/>
                <w:lang w:val="en-US"/>
              </w:rPr>
              <w:t xml:space="preserve">ot only to endorse the referred revised ISSAIs, but also to </w:t>
            </w:r>
            <w:r>
              <w:rPr>
                <w:rFonts w:ascii="Arial" w:hAnsi="Arial" w:cs="Arial"/>
                <w:sz w:val="24"/>
                <w:szCs w:val="24"/>
                <w:lang w:val="en-US"/>
              </w:rPr>
              <w:t xml:space="preserve">approve the withdrawal from the INTOSAI Standards Framework of the </w:t>
            </w:r>
            <w:r w:rsidRPr="00E23E29">
              <w:rPr>
                <w:rFonts w:ascii="Arial" w:hAnsi="Arial" w:cs="Arial"/>
                <w:sz w:val="24"/>
                <w:szCs w:val="24"/>
                <w:lang w:val="en-US"/>
              </w:rPr>
              <w:t xml:space="preserve">ISSAI  5420 “Public Debt: Management and Fiscal Vulnerability: Potential Roles for SAIs”. </w:t>
            </w:r>
          </w:p>
          <w:p w:rsidR="00C24081" w:rsidRDefault="00C24081" w:rsidP="00C24081">
            <w:pPr>
              <w:jc w:val="both"/>
              <w:rPr>
                <w:rFonts w:ascii="Arial" w:hAnsi="Arial" w:cs="Arial"/>
                <w:sz w:val="24"/>
                <w:szCs w:val="24"/>
                <w:lang w:val="en-US"/>
              </w:rPr>
            </w:pPr>
          </w:p>
          <w:p w:rsidR="00C24081" w:rsidRDefault="00C24081" w:rsidP="00C24081">
            <w:pPr>
              <w:jc w:val="both"/>
              <w:rPr>
                <w:rFonts w:ascii="Arial" w:hAnsi="Arial" w:cs="Arial"/>
                <w:sz w:val="24"/>
                <w:szCs w:val="24"/>
                <w:lang w:val="en-US"/>
              </w:rPr>
            </w:pPr>
            <w:r>
              <w:rPr>
                <w:rFonts w:ascii="Arial" w:hAnsi="Arial" w:cs="Arial"/>
                <w:sz w:val="24"/>
                <w:szCs w:val="24"/>
                <w:lang w:val="en-US"/>
              </w:rPr>
              <w:t>Due to the relatively recent issuing of the ISSAI 5411 “Debt Indicators”, this standard was not subject to this revision process, but will be included in the next one. In this regard, i</w:t>
            </w:r>
            <w:r w:rsidRPr="00E23E29">
              <w:rPr>
                <w:rFonts w:ascii="Arial" w:hAnsi="Arial" w:cs="Arial"/>
                <w:sz w:val="24"/>
                <w:szCs w:val="24"/>
                <w:lang w:val="en-US"/>
              </w:rPr>
              <w:t xml:space="preserve">t is worth mentioning that Goal 3 Working Groups are now responsible for the periodic revision of ISSAIs with a frequency of at least every five years, so the Working Group will keep the </w:t>
            </w:r>
            <w:r>
              <w:rPr>
                <w:rFonts w:ascii="Arial" w:hAnsi="Arial" w:cs="Arial"/>
                <w:sz w:val="24"/>
                <w:szCs w:val="24"/>
                <w:lang w:val="en-US"/>
              </w:rPr>
              <w:t xml:space="preserve">KSC Steering Committee </w:t>
            </w:r>
            <w:r w:rsidRPr="00E23E29">
              <w:rPr>
                <w:rFonts w:ascii="Arial" w:hAnsi="Arial" w:cs="Arial"/>
                <w:sz w:val="24"/>
                <w:szCs w:val="24"/>
                <w:lang w:val="en-US"/>
              </w:rPr>
              <w:t>informed.</w:t>
            </w:r>
          </w:p>
          <w:p w:rsidR="00166519" w:rsidRPr="00C24081" w:rsidRDefault="00166519" w:rsidP="00C24081">
            <w:pPr>
              <w:jc w:val="both"/>
              <w:rPr>
                <w:lang w:val="en-US"/>
              </w:rPr>
            </w:pPr>
          </w:p>
        </w:tc>
        <w:tc>
          <w:tcPr>
            <w:tcW w:w="4423" w:type="dxa"/>
          </w:tcPr>
          <w:p w:rsidR="00C24081" w:rsidRDefault="00101A71" w:rsidP="00101A71">
            <w:pPr>
              <w:jc w:val="center"/>
            </w:pPr>
            <w:r w:rsidRPr="00101A71">
              <w:rPr>
                <w:noProof/>
                <w:lang w:val="en-IN" w:eastAsia="en-IN" w:bidi="hi-IN"/>
              </w:rPr>
              <w:drawing>
                <wp:inline distT="0" distB="0" distL="0" distR="0" wp14:anchorId="436147B8" wp14:editId="06094985">
                  <wp:extent cx="2331307" cy="1748481"/>
                  <wp:effectExtent l="0" t="0" r="0" b="444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331633" cy="1748725"/>
                          </a:xfrm>
                          <a:prstGeom prst="rect">
                            <a:avLst/>
                          </a:prstGeom>
                        </pic:spPr>
                      </pic:pic>
                    </a:graphicData>
                  </a:graphic>
                </wp:inline>
              </w:drawing>
            </w:r>
          </w:p>
        </w:tc>
      </w:tr>
      <w:tr w:rsidR="00A44EB9" w:rsidRPr="00C24081" w:rsidTr="000173F7">
        <w:tc>
          <w:tcPr>
            <w:tcW w:w="5925" w:type="dxa"/>
          </w:tcPr>
          <w:p w:rsidR="00C24081" w:rsidRDefault="00C24081" w:rsidP="00C24081">
            <w:pPr>
              <w:jc w:val="both"/>
              <w:rPr>
                <w:rFonts w:ascii="Arial" w:hAnsi="Arial" w:cs="Arial"/>
                <w:sz w:val="24"/>
                <w:szCs w:val="24"/>
                <w:lang w:val="en-US"/>
              </w:rPr>
            </w:pPr>
            <w:r w:rsidRPr="00E23E29">
              <w:rPr>
                <w:rFonts w:ascii="Arial" w:hAnsi="Arial" w:cs="Arial"/>
                <w:sz w:val="24"/>
                <w:szCs w:val="24"/>
                <w:lang w:val="en-US"/>
              </w:rPr>
              <w:lastRenderedPageBreak/>
              <w:t xml:space="preserve">Other relevant project of the Working Group is based on its Strategic Plan’s objectives to “prepare and publish guidelines and other material to be used by SAIs in order to encourage the proper reporting and sound management of public debt”, “to identify key issues for the development of responsibilities and procedures for auditing and evaluating public debt commitments”, and “to prepare papers examining matters on public debt definition, reporting and assessment”. That is why a Working Group’s permanent agenda item </w:t>
            </w:r>
            <w:r>
              <w:rPr>
                <w:rFonts w:ascii="Arial" w:hAnsi="Arial" w:cs="Arial"/>
                <w:sz w:val="24"/>
                <w:szCs w:val="24"/>
                <w:lang w:val="en-US"/>
              </w:rPr>
              <w:t>refers to</w:t>
            </w:r>
            <w:r w:rsidRPr="00E23E29">
              <w:rPr>
                <w:rFonts w:ascii="Arial" w:hAnsi="Arial" w:cs="Arial"/>
                <w:sz w:val="24"/>
                <w:szCs w:val="24"/>
                <w:lang w:val="en-US"/>
              </w:rPr>
              <w:t xml:space="preserve"> the development of investigation themes.</w:t>
            </w:r>
          </w:p>
          <w:p w:rsidR="00166519" w:rsidRPr="00C24081" w:rsidRDefault="00166519" w:rsidP="00C24081">
            <w:pPr>
              <w:jc w:val="both"/>
              <w:rPr>
                <w:rFonts w:ascii="Arial" w:hAnsi="Arial" w:cs="Arial"/>
                <w:sz w:val="24"/>
                <w:szCs w:val="24"/>
                <w:lang w:val="en-US"/>
              </w:rPr>
            </w:pPr>
          </w:p>
        </w:tc>
        <w:tc>
          <w:tcPr>
            <w:tcW w:w="4423" w:type="dxa"/>
          </w:tcPr>
          <w:p w:rsidR="00C24081" w:rsidRPr="00C24081" w:rsidRDefault="00C24081" w:rsidP="00101A71">
            <w:pPr>
              <w:jc w:val="center"/>
              <w:rPr>
                <w:lang w:val="en-US"/>
              </w:rPr>
            </w:pPr>
            <w:r w:rsidRPr="00C24081">
              <w:rPr>
                <w:noProof/>
                <w:lang w:val="en-IN" w:eastAsia="en-IN" w:bidi="hi-IN"/>
              </w:rPr>
              <w:drawing>
                <wp:inline distT="0" distB="0" distL="0" distR="0" wp14:anchorId="4FCD39C0" wp14:editId="0F2D4D19">
                  <wp:extent cx="2075934" cy="1556951"/>
                  <wp:effectExtent l="0" t="0" r="635"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84003" cy="1563003"/>
                          </a:xfrm>
                          <a:prstGeom prst="rect">
                            <a:avLst/>
                          </a:prstGeom>
                        </pic:spPr>
                      </pic:pic>
                    </a:graphicData>
                  </a:graphic>
                </wp:inline>
              </w:drawing>
            </w:r>
          </w:p>
        </w:tc>
      </w:tr>
      <w:tr w:rsidR="00A44EB9" w:rsidRPr="00C24081" w:rsidTr="000173F7">
        <w:tc>
          <w:tcPr>
            <w:tcW w:w="5925" w:type="dxa"/>
          </w:tcPr>
          <w:p w:rsidR="00C24081" w:rsidRPr="00C24081" w:rsidRDefault="00C24081" w:rsidP="00C24081">
            <w:pPr>
              <w:pStyle w:val="Title"/>
              <w:jc w:val="both"/>
              <w:rPr>
                <w:rFonts w:ascii="Arial" w:hAnsi="Arial" w:cs="Arial"/>
                <w:b w:val="0"/>
                <w:lang w:val="en-US"/>
              </w:rPr>
            </w:pPr>
            <w:r w:rsidRPr="00E23E29">
              <w:rPr>
                <w:rFonts w:ascii="Arial" w:hAnsi="Arial" w:cs="Arial"/>
                <w:b w:val="0"/>
                <w:lang w:val="en-US"/>
              </w:rPr>
              <w:t xml:space="preserve">In this </w:t>
            </w:r>
            <w:r>
              <w:rPr>
                <w:rFonts w:ascii="Arial" w:hAnsi="Arial" w:cs="Arial"/>
                <w:b w:val="0"/>
                <w:lang w:val="en-US"/>
              </w:rPr>
              <w:t>sense</w:t>
            </w:r>
            <w:r w:rsidRPr="00E23E29">
              <w:rPr>
                <w:rFonts w:ascii="Arial" w:hAnsi="Arial" w:cs="Arial"/>
                <w:b w:val="0"/>
                <w:lang w:val="en-US"/>
              </w:rPr>
              <w:t xml:space="preserve">, I would like to mention the progress made regarding two research projects: </w:t>
            </w:r>
            <w:r w:rsidRPr="00E23E29">
              <w:rPr>
                <w:rFonts w:ascii="Arial" w:hAnsi="Arial" w:cs="Arial"/>
                <w:b w:val="0"/>
                <w:i/>
                <w:lang w:val="en-US"/>
              </w:rPr>
              <w:t>"Evaluation of Information Systems related to Public Debt Management"</w:t>
            </w:r>
            <w:r w:rsidRPr="00E23E29">
              <w:rPr>
                <w:rFonts w:ascii="Arial" w:hAnsi="Arial" w:cs="Arial"/>
                <w:b w:val="0"/>
                <w:lang w:val="en-US"/>
              </w:rPr>
              <w:t xml:space="preserve"> and </w:t>
            </w:r>
            <w:r w:rsidRPr="00E23E29">
              <w:rPr>
                <w:rFonts w:ascii="Arial" w:hAnsi="Arial" w:cs="Arial"/>
                <w:b w:val="0"/>
                <w:i/>
                <w:lang w:val="en-US"/>
              </w:rPr>
              <w:t>"</w:t>
            </w:r>
            <w:r w:rsidRPr="00C24081">
              <w:rPr>
                <w:rFonts w:ascii="Arial" w:hAnsi="Arial" w:cs="Arial"/>
                <w:b w:val="0"/>
                <w:i/>
                <w:lang w:val="en-US"/>
              </w:rPr>
              <w:t>Public Debt Management Office"</w:t>
            </w:r>
            <w:r w:rsidRPr="00C24081">
              <w:rPr>
                <w:rFonts w:ascii="Arial" w:hAnsi="Arial" w:cs="Arial"/>
                <w:b w:val="0"/>
                <w:lang w:val="en-US"/>
              </w:rPr>
              <w:t>. Both documents have been analyzed by the members of the Working Group and are subject to the procedures defined in the Due Process.</w:t>
            </w:r>
          </w:p>
          <w:p w:rsidR="00C24081" w:rsidRPr="00C24081" w:rsidRDefault="00C24081" w:rsidP="00C24081">
            <w:pPr>
              <w:pStyle w:val="Title"/>
              <w:jc w:val="both"/>
              <w:rPr>
                <w:rFonts w:ascii="Arial" w:hAnsi="Arial" w:cs="Arial"/>
                <w:b w:val="0"/>
                <w:lang w:val="en-US"/>
              </w:rPr>
            </w:pPr>
          </w:p>
          <w:p w:rsidR="00C24081" w:rsidRDefault="00C24081" w:rsidP="00C24081">
            <w:pPr>
              <w:jc w:val="both"/>
              <w:rPr>
                <w:rFonts w:ascii="Arial" w:hAnsi="Arial" w:cs="Arial"/>
                <w:sz w:val="24"/>
                <w:szCs w:val="24"/>
                <w:lang w:val="en-US"/>
              </w:rPr>
            </w:pPr>
            <w:r w:rsidRPr="00C24081">
              <w:rPr>
                <w:rFonts w:ascii="Arial" w:hAnsi="Arial" w:cs="Arial"/>
                <w:sz w:val="24"/>
                <w:szCs w:val="24"/>
                <w:lang w:val="en-US"/>
              </w:rPr>
              <w:t>The research on the “</w:t>
            </w:r>
            <w:r w:rsidRPr="00C24081">
              <w:rPr>
                <w:rFonts w:ascii="Arial" w:hAnsi="Arial" w:cs="Arial"/>
                <w:i/>
                <w:sz w:val="24"/>
                <w:szCs w:val="24"/>
                <w:lang w:val="en-US"/>
              </w:rPr>
              <w:t>Evaluation of Information Systems related to Public Debt Management”,</w:t>
            </w:r>
            <w:r w:rsidRPr="00C24081">
              <w:rPr>
                <w:rFonts w:ascii="Arial" w:hAnsi="Arial" w:cs="Arial"/>
                <w:sz w:val="24"/>
                <w:szCs w:val="24"/>
                <w:lang w:val="en-US"/>
              </w:rPr>
              <w:t xml:space="preserve"> was</w:t>
            </w:r>
            <w:r w:rsidRPr="00C24081">
              <w:rPr>
                <w:rFonts w:ascii="Arial" w:hAnsi="Arial" w:cs="Arial"/>
                <w:i/>
                <w:sz w:val="24"/>
                <w:szCs w:val="24"/>
                <w:lang w:val="en-US"/>
              </w:rPr>
              <w:t xml:space="preserve"> </w:t>
            </w:r>
            <w:r w:rsidRPr="00C24081">
              <w:rPr>
                <w:rFonts w:ascii="Arial" w:hAnsi="Arial" w:cs="Arial"/>
                <w:sz w:val="24"/>
                <w:szCs w:val="24"/>
                <w:lang w:val="en-US"/>
              </w:rPr>
              <w:t>originated during our meeting in 2009, held in Kiev, as part of the efforts to encourage appropriate accountability and sound management of debt. This document was approved in May 2013, by the Chair of the KSC Steering Committee, and subsequently by the Professional Standards Committee, which classified it as possible ISSAI 5450. From 1 July to 1 October 2013, it was published on the Website of the ISSAI Framework as exposure version for comments by the INTOSAI community.</w:t>
            </w:r>
          </w:p>
          <w:p w:rsidR="00166519" w:rsidRPr="00C24081" w:rsidRDefault="00166519" w:rsidP="00C24081">
            <w:pPr>
              <w:jc w:val="both"/>
              <w:rPr>
                <w:lang w:val="en-US"/>
              </w:rPr>
            </w:pPr>
          </w:p>
        </w:tc>
        <w:tc>
          <w:tcPr>
            <w:tcW w:w="4423" w:type="dxa"/>
          </w:tcPr>
          <w:p w:rsidR="00C24081" w:rsidRPr="00C24081" w:rsidRDefault="00C24081" w:rsidP="00101A71">
            <w:pPr>
              <w:jc w:val="center"/>
              <w:rPr>
                <w:lang w:val="en-US"/>
              </w:rPr>
            </w:pPr>
            <w:r w:rsidRPr="00C24081">
              <w:rPr>
                <w:noProof/>
                <w:lang w:val="en-IN" w:eastAsia="en-IN" w:bidi="hi-IN"/>
              </w:rPr>
              <w:drawing>
                <wp:inline distT="0" distB="0" distL="0" distR="0" wp14:anchorId="3E232A7C" wp14:editId="66219B9B">
                  <wp:extent cx="2290118" cy="171758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01972" cy="1726479"/>
                          </a:xfrm>
                          <a:prstGeom prst="rect">
                            <a:avLst/>
                          </a:prstGeom>
                        </pic:spPr>
                      </pic:pic>
                    </a:graphicData>
                  </a:graphic>
                </wp:inline>
              </w:drawing>
            </w:r>
          </w:p>
        </w:tc>
      </w:tr>
      <w:tr w:rsidR="00A44EB9" w:rsidRPr="00C24081" w:rsidTr="000173F7">
        <w:tc>
          <w:tcPr>
            <w:tcW w:w="5925" w:type="dxa"/>
          </w:tcPr>
          <w:p w:rsidR="00C24081" w:rsidRDefault="00C24081" w:rsidP="00C24081">
            <w:pPr>
              <w:jc w:val="both"/>
              <w:rPr>
                <w:rFonts w:ascii="Arial" w:hAnsi="Arial" w:cs="Arial"/>
                <w:sz w:val="24"/>
                <w:lang w:val="en-US"/>
              </w:rPr>
            </w:pPr>
            <w:r w:rsidRPr="00C24081">
              <w:rPr>
                <w:rFonts w:ascii="Arial" w:hAnsi="Arial" w:cs="Arial"/>
                <w:sz w:val="24"/>
                <w:lang w:val="en-US"/>
              </w:rPr>
              <w:t>Furthermore, I want to emphasize that this guideline has been implemented as a reference for the development of the "Coordinated Parallel Audit of Information Systems for Public Debt Management" initiative. Due to the nature of the comments received from the INTOSAI community during the exposure period, and considering the lessons learned during the coordinated parallel audit, the revised version of this research was subject to a re-exposure period, in accordance with Due Process. Therefore, ISSAI 5450 could be presented as a draft international standard during the XXII INCOSAI in 2016, for final approval.</w:t>
            </w:r>
          </w:p>
          <w:p w:rsidR="00166519" w:rsidRPr="00C24081" w:rsidRDefault="00166519" w:rsidP="00C24081">
            <w:pPr>
              <w:jc w:val="both"/>
              <w:rPr>
                <w:rFonts w:ascii="Arial" w:hAnsi="Arial" w:cs="Arial"/>
                <w:sz w:val="24"/>
                <w:lang w:val="en-US"/>
              </w:rPr>
            </w:pPr>
          </w:p>
        </w:tc>
        <w:tc>
          <w:tcPr>
            <w:tcW w:w="4423" w:type="dxa"/>
          </w:tcPr>
          <w:p w:rsidR="00C24081" w:rsidRPr="00C24081" w:rsidRDefault="00C24081" w:rsidP="00101A71">
            <w:pPr>
              <w:jc w:val="center"/>
              <w:rPr>
                <w:lang w:val="en-US"/>
              </w:rPr>
            </w:pPr>
            <w:r w:rsidRPr="00C24081">
              <w:rPr>
                <w:noProof/>
                <w:lang w:val="en-IN" w:eastAsia="en-IN" w:bidi="hi-IN"/>
              </w:rPr>
              <w:drawing>
                <wp:inline distT="0" distB="0" distL="0" distR="0" wp14:anchorId="344B31CE" wp14:editId="43C2726B">
                  <wp:extent cx="2242751" cy="1682063"/>
                  <wp:effectExtent l="0" t="0" r="571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54734" cy="1691050"/>
                          </a:xfrm>
                          <a:prstGeom prst="rect">
                            <a:avLst/>
                          </a:prstGeom>
                        </pic:spPr>
                      </pic:pic>
                    </a:graphicData>
                  </a:graphic>
                </wp:inline>
              </w:drawing>
            </w:r>
          </w:p>
        </w:tc>
      </w:tr>
      <w:tr w:rsidR="00A44EB9" w:rsidRPr="00C24081" w:rsidTr="000173F7">
        <w:tc>
          <w:tcPr>
            <w:tcW w:w="5925" w:type="dxa"/>
          </w:tcPr>
          <w:p w:rsidR="00C24081" w:rsidRDefault="009B6FDA" w:rsidP="009B6FDA">
            <w:pPr>
              <w:pStyle w:val="Title"/>
              <w:jc w:val="both"/>
              <w:rPr>
                <w:rFonts w:ascii="Arial" w:hAnsi="Arial" w:cs="Arial"/>
                <w:b w:val="0"/>
                <w:lang w:val="en-US"/>
              </w:rPr>
            </w:pPr>
            <w:r w:rsidRPr="00E23E29">
              <w:rPr>
                <w:rFonts w:ascii="Arial" w:hAnsi="Arial" w:cs="Arial"/>
                <w:b w:val="0"/>
                <w:lang w:val="en-US"/>
              </w:rPr>
              <w:lastRenderedPageBreak/>
              <w:t xml:space="preserve">The second ongoing research, </w:t>
            </w:r>
            <w:r w:rsidRPr="00E23E29">
              <w:rPr>
                <w:rFonts w:ascii="Arial" w:hAnsi="Arial" w:cs="Arial"/>
                <w:b w:val="0"/>
                <w:i/>
                <w:lang w:val="en-US"/>
              </w:rPr>
              <w:t>"Public Debt Management Office"</w:t>
            </w:r>
            <w:r w:rsidRPr="00E23E29">
              <w:rPr>
                <w:rFonts w:ascii="Arial" w:hAnsi="Arial" w:cs="Arial"/>
                <w:b w:val="0"/>
                <w:lang w:val="en-US"/>
              </w:rPr>
              <w:t xml:space="preserve">, was originated in the 2008 meeting, held in Nadi, Fiji. This is the first </w:t>
            </w:r>
            <w:r>
              <w:rPr>
                <w:rFonts w:ascii="Arial" w:hAnsi="Arial" w:cs="Arial"/>
                <w:b w:val="0"/>
                <w:lang w:val="en-US"/>
              </w:rPr>
              <w:t xml:space="preserve">INTOSAI </w:t>
            </w:r>
            <w:r w:rsidRPr="00E23E29">
              <w:rPr>
                <w:rFonts w:ascii="Arial" w:hAnsi="Arial" w:cs="Arial"/>
                <w:b w:val="0"/>
                <w:lang w:val="en-US"/>
              </w:rPr>
              <w:t>Guideline for Good Governance (INTOSAI GOV) developed by the Working Group; its goal is to provide guidance, from the auditors’ perspective, for the establishment of an effective debt management</w:t>
            </w:r>
            <w:r>
              <w:rPr>
                <w:rFonts w:ascii="Arial" w:hAnsi="Arial" w:cs="Arial"/>
                <w:b w:val="0"/>
                <w:lang w:val="en-US"/>
              </w:rPr>
              <w:t xml:space="preserve"> </w:t>
            </w:r>
            <w:r w:rsidRPr="00E23E29">
              <w:rPr>
                <w:rFonts w:ascii="Arial" w:hAnsi="Arial" w:cs="Arial"/>
                <w:b w:val="0"/>
                <w:lang w:val="en-US"/>
              </w:rPr>
              <w:t>office. The draft was shared to the Chair of the Knowledge Sharing Committee, whose feedback has been taken into account. Since the document has been approved by t</w:t>
            </w:r>
            <w:r>
              <w:rPr>
                <w:rFonts w:ascii="Arial" w:hAnsi="Arial" w:cs="Arial"/>
                <w:b w:val="0"/>
                <w:lang w:val="en-US"/>
              </w:rPr>
              <w:t>he members of the Working Group, hereby we ask for the KSC Steering Committee’s endorsement, so it could</w:t>
            </w:r>
            <w:r w:rsidRPr="00E23E29">
              <w:rPr>
                <w:rFonts w:ascii="Arial" w:hAnsi="Arial" w:cs="Arial"/>
                <w:b w:val="0"/>
                <w:lang w:val="en-US"/>
              </w:rPr>
              <w:t xml:space="preserve"> be presented before the Professional Standards Committee </w:t>
            </w:r>
            <w:r>
              <w:rPr>
                <w:rFonts w:ascii="Arial" w:hAnsi="Arial" w:cs="Arial"/>
                <w:b w:val="0"/>
                <w:lang w:val="en-US"/>
              </w:rPr>
              <w:t>for classification and approval to be</w:t>
            </w:r>
            <w:r w:rsidRPr="00E23E29">
              <w:rPr>
                <w:rFonts w:ascii="Arial" w:hAnsi="Arial" w:cs="Arial"/>
                <w:b w:val="0"/>
                <w:lang w:val="en-US"/>
              </w:rPr>
              <w:t xml:space="preserve"> exposed for comments </w:t>
            </w:r>
            <w:r>
              <w:rPr>
                <w:rFonts w:ascii="Arial" w:hAnsi="Arial" w:cs="Arial"/>
                <w:b w:val="0"/>
                <w:lang w:val="en-US"/>
              </w:rPr>
              <w:t>by</w:t>
            </w:r>
            <w:r w:rsidRPr="00E23E29">
              <w:rPr>
                <w:rFonts w:ascii="Arial" w:hAnsi="Arial" w:cs="Arial"/>
                <w:b w:val="0"/>
                <w:lang w:val="en-US"/>
              </w:rPr>
              <w:t xml:space="preserve"> the community of SAIs. This INTOSAI GOV </w:t>
            </w:r>
            <w:r>
              <w:rPr>
                <w:rFonts w:ascii="Arial" w:hAnsi="Arial" w:cs="Arial"/>
                <w:b w:val="0"/>
                <w:lang w:val="en-US"/>
              </w:rPr>
              <w:t>is expected to comply with the</w:t>
            </w:r>
            <w:r w:rsidRPr="00E23E29">
              <w:rPr>
                <w:rFonts w:ascii="Arial" w:hAnsi="Arial" w:cs="Arial"/>
                <w:b w:val="0"/>
                <w:lang w:val="en-US"/>
              </w:rPr>
              <w:t xml:space="preserve"> ISSAI Due Process in 2016, so that it could be presented for final approval </w:t>
            </w:r>
            <w:r>
              <w:rPr>
                <w:rFonts w:ascii="Arial" w:hAnsi="Arial" w:cs="Arial"/>
                <w:b w:val="0"/>
                <w:lang w:val="en-US"/>
              </w:rPr>
              <w:t>during</w:t>
            </w:r>
            <w:r w:rsidRPr="00E23E29">
              <w:rPr>
                <w:rFonts w:ascii="Arial" w:hAnsi="Arial" w:cs="Arial"/>
                <w:b w:val="0"/>
                <w:lang w:val="en-US"/>
              </w:rPr>
              <w:t xml:space="preserve"> the next INCOSAI.</w:t>
            </w:r>
          </w:p>
          <w:p w:rsidR="00166519" w:rsidRPr="009B6FDA" w:rsidRDefault="00166519" w:rsidP="009B6FDA">
            <w:pPr>
              <w:pStyle w:val="Title"/>
              <w:jc w:val="both"/>
              <w:rPr>
                <w:rFonts w:ascii="Arial" w:hAnsi="Arial" w:cs="Arial"/>
                <w:b w:val="0"/>
                <w:lang w:val="en-US"/>
              </w:rPr>
            </w:pPr>
          </w:p>
        </w:tc>
        <w:tc>
          <w:tcPr>
            <w:tcW w:w="4423" w:type="dxa"/>
          </w:tcPr>
          <w:p w:rsidR="00C24081" w:rsidRPr="00C24081" w:rsidRDefault="00166519" w:rsidP="00101A71">
            <w:pPr>
              <w:jc w:val="center"/>
              <w:rPr>
                <w:lang w:val="en-US"/>
              </w:rPr>
            </w:pPr>
            <w:r w:rsidRPr="00166519">
              <w:rPr>
                <w:noProof/>
                <w:lang w:val="en-IN" w:eastAsia="en-IN" w:bidi="hi-IN"/>
              </w:rPr>
              <w:drawing>
                <wp:inline distT="0" distB="0" distL="0" distR="0" wp14:anchorId="0C899737" wp14:editId="157ABE73">
                  <wp:extent cx="2267463" cy="1700598"/>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267780" cy="1700836"/>
                          </a:xfrm>
                          <a:prstGeom prst="rect">
                            <a:avLst/>
                          </a:prstGeom>
                        </pic:spPr>
                      </pic:pic>
                    </a:graphicData>
                  </a:graphic>
                </wp:inline>
              </w:drawing>
            </w:r>
          </w:p>
        </w:tc>
      </w:tr>
      <w:tr w:rsidR="00A44EB9" w:rsidRPr="00C24081" w:rsidTr="000173F7">
        <w:tc>
          <w:tcPr>
            <w:tcW w:w="5925" w:type="dxa"/>
          </w:tcPr>
          <w:p w:rsidR="00C24081" w:rsidRDefault="009B6FDA" w:rsidP="009B6FDA">
            <w:pPr>
              <w:pStyle w:val="Title"/>
              <w:jc w:val="both"/>
              <w:rPr>
                <w:rFonts w:ascii="Arial" w:hAnsi="Arial" w:cs="Arial"/>
                <w:b w:val="0"/>
                <w:lang w:val="en-US"/>
              </w:rPr>
            </w:pPr>
            <w:r w:rsidRPr="00E23E29">
              <w:rPr>
                <w:rFonts w:ascii="Arial" w:hAnsi="Arial" w:cs="Arial"/>
                <w:b w:val="0"/>
                <w:lang w:val="en-US"/>
              </w:rPr>
              <w:t xml:space="preserve">I will now address the previously mentioned initiative “Concept Framework of Coordinated Parallel Audit of Public Debt Management Information Systems”. Its objective is to assess the appropriate implementation of management and control process in relation to the efficiency of Public Debt Management National Information Systems. Twelve members SAIs are involved in this initiative with a two-year work plan (2014-2015). To date, three meetings have been held (Ukraine, Moldova and Georgia), to coordinate </w:t>
            </w:r>
            <w:r>
              <w:rPr>
                <w:rFonts w:ascii="Arial" w:hAnsi="Arial" w:cs="Arial"/>
                <w:b w:val="0"/>
                <w:lang w:val="en-US"/>
              </w:rPr>
              <w:t>the execution</w:t>
            </w:r>
            <w:r w:rsidRPr="00E23E29">
              <w:rPr>
                <w:rFonts w:ascii="Arial" w:hAnsi="Arial" w:cs="Arial"/>
                <w:b w:val="0"/>
                <w:lang w:val="en-US"/>
              </w:rPr>
              <w:t xml:space="preserve"> of the parallel audit and the study of information systems to manage public debt at national level. As a reference, the initiative is based not only on the Guidance for Conducting a Public Debt Audit, developed by the IDI in collaboration wit</w:t>
            </w:r>
            <w:r>
              <w:rPr>
                <w:rFonts w:ascii="Arial" w:hAnsi="Arial" w:cs="Arial"/>
                <w:b w:val="0"/>
                <w:lang w:val="en-US"/>
              </w:rPr>
              <w:t>h the Working Group, but also on</w:t>
            </w:r>
            <w:r w:rsidRPr="00E23E29">
              <w:rPr>
                <w:rFonts w:ascii="Arial" w:hAnsi="Arial" w:cs="Arial"/>
                <w:b w:val="0"/>
                <w:lang w:val="en-US"/>
              </w:rPr>
              <w:t xml:space="preserve"> the draft ISSAI 5450 “Guidance of Auditing on Public Debt Information Systems”. The Joint Parallel Audit Report of this initiative will be disseminated by the WGPD Chair in December 2015.</w:t>
            </w:r>
          </w:p>
          <w:p w:rsidR="00166519" w:rsidRDefault="00166519" w:rsidP="009B6FDA">
            <w:pPr>
              <w:pStyle w:val="Title"/>
              <w:jc w:val="both"/>
              <w:rPr>
                <w:rFonts w:ascii="Arial" w:hAnsi="Arial" w:cs="Arial"/>
                <w:b w:val="0"/>
                <w:lang w:val="en-US"/>
              </w:rPr>
            </w:pPr>
          </w:p>
          <w:p w:rsidR="00166519" w:rsidRPr="00166519" w:rsidRDefault="00166519" w:rsidP="009B6FDA">
            <w:pPr>
              <w:pStyle w:val="Title"/>
              <w:jc w:val="both"/>
              <w:rPr>
                <w:rFonts w:ascii="Arial" w:hAnsi="Arial" w:cs="Arial"/>
                <w:b w:val="0"/>
                <w:lang w:val="en-US"/>
              </w:rPr>
            </w:pPr>
            <w:r w:rsidRPr="00166519">
              <w:rPr>
                <w:rFonts w:ascii="Arial" w:hAnsi="Arial" w:cs="Arial"/>
                <w:b w:val="0"/>
                <w:lang w:val="en-US"/>
              </w:rPr>
              <w:t>This project supports the implementation of our Strategic Plan’s first goal: “</w:t>
            </w:r>
            <w:r w:rsidRPr="00166519">
              <w:rPr>
                <w:rFonts w:ascii="Arial" w:hAnsi="Arial" w:cs="Arial"/>
                <w:b w:val="0"/>
                <w:i/>
                <w:lang w:val="en-US"/>
              </w:rPr>
              <w:t>Capacity building and enhancing SAI expertise</w:t>
            </w:r>
            <w:r w:rsidRPr="00166519">
              <w:rPr>
                <w:rFonts w:ascii="Arial" w:hAnsi="Arial" w:cs="Arial"/>
                <w:b w:val="0"/>
                <w:lang w:val="en-US"/>
              </w:rPr>
              <w:t>”.</w:t>
            </w:r>
          </w:p>
          <w:p w:rsidR="00166519" w:rsidRPr="009B6FDA" w:rsidRDefault="00166519" w:rsidP="009B6FDA">
            <w:pPr>
              <w:pStyle w:val="Title"/>
              <w:jc w:val="both"/>
              <w:rPr>
                <w:rFonts w:ascii="Arial" w:hAnsi="Arial" w:cs="Arial"/>
                <w:b w:val="0"/>
                <w:lang w:val="en-US"/>
              </w:rPr>
            </w:pPr>
          </w:p>
        </w:tc>
        <w:tc>
          <w:tcPr>
            <w:tcW w:w="4423" w:type="dxa"/>
          </w:tcPr>
          <w:p w:rsidR="00C24081" w:rsidRPr="00C24081" w:rsidRDefault="009B6FDA" w:rsidP="00101A71">
            <w:pPr>
              <w:jc w:val="center"/>
              <w:rPr>
                <w:lang w:val="en-US"/>
              </w:rPr>
            </w:pPr>
            <w:r w:rsidRPr="009B6FDA">
              <w:rPr>
                <w:noProof/>
                <w:lang w:val="en-IN" w:eastAsia="en-IN" w:bidi="hi-IN"/>
              </w:rPr>
              <w:drawing>
                <wp:inline distT="0" distB="0" distL="0" distR="0" wp14:anchorId="252A9D41" wp14:editId="6EDF9FB3">
                  <wp:extent cx="2211859" cy="1658894"/>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24189" cy="1668141"/>
                          </a:xfrm>
                          <a:prstGeom prst="rect">
                            <a:avLst/>
                          </a:prstGeom>
                        </pic:spPr>
                      </pic:pic>
                    </a:graphicData>
                  </a:graphic>
                </wp:inline>
              </w:drawing>
            </w:r>
          </w:p>
        </w:tc>
      </w:tr>
      <w:tr w:rsidR="00A44EB9" w:rsidRPr="00C24081" w:rsidTr="000173F7">
        <w:tc>
          <w:tcPr>
            <w:tcW w:w="5925" w:type="dxa"/>
          </w:tcPr>
          <w:p w:rsidR="001C1596" w:rsidRPr="00E23E29" w:rsidRDefault="001C1596" w:rsidP="001C1596">
            <w:pPr>
              <w:jc w:val="both"/>
              <w:rPr>
                <w:rFonts w:ascii="Arial" w:hAnsi="Arial" w:cs="Arial"/>
                <w:sz w:val="24"/>
                <w:szCs w:val="24"/>
                <w:lang w:val="en-US"/>
              </w:rPr>
            </w:pPr>
            <w:r w:rsidRPr="00E23E29">
              <w:rPr>
                <w:rFonts w:ascii="Arial" w:hAnsi="Arial" w:cs="Arial"/>
                <w:sz w:val="24"/>
                <w:szCs w:val="24"/>
                <w:lang w:val="en-US"/>
              </w:rPr>
              <w:lastRenderedPageBreak/>
              <w:t>In this regard, other key initiative to build professional capacities tailored to the needs of the community of SAIs, is the public debt-related trans-regional capacity building programs developed by the IDI with the Working Group’s support.</w:t>
            </w:r>
          </w:p>
          <w:p w:rsidR="001C1596" w:rsidRPr="00E23E29" w:rsidRDefault="001C1596" w:rsidP="001C1596">
            <w:pPr>
              <w:jc w:val="both"/>
              <w:rPr>
                <w:rFonts w:ascii="Arial" w:hAnsi="Arial" w:cs="Arial"/>
                <w:sz w:val="24"/>
                <w:szCs w:val="24"/>
                <w:lang w:val="en-US"/>
              </w:rPr>
            </w:pPr>
          </w:p>
          <w:p w:rsidR="00C24081" w:rsidRDefault="001C1596" w:rsidP="001C1596">
            <w:pPr>
              <w:jc w:val="both"/>
              <w:rPr>
                <w:rFonts w:ascii="Arial" w:hAnsi="Arial" w:cs="Arial"/>
                <w:sz w:val="24"/>
                <w:szCs w:val="24"/>
                <w:lang w:val="en-US"/>
              </w:rPr>
            </w:pPr>
            <w:r w:rsidRPr="00E23E29">
              <w:rPr>
                <w:rFonts w:ascii="Arial" w:hAnsi="Arial" w:cs="Arial"/>
                <w:sz w:val="24"/>
                <w:szCs w:val="24"/>
                <w:lang w:val="en-US"/>
              </w:rPr>
              <w:t>In this regard, it’s worth mentioning IDI’s work from 2008 to 2011 to develop and implement the Trans-regional Programme on Public Debt Management Audit, which strengthened the institutional capacities of 29 participating SAIs from 5 regional working groups in relation to the subject matter, and also helped promoting the sound public debt management and audit</w:t>
            </w:r>
            <w:r>
              <w:rPr>
                <w:rFonts w:ascii="Arial" w:hAnsi="Arial" w:cs="Arial"/>
                <w:sz w:val="24"/>
                <w:szCs w:val="24"/>
                <w:lang w:val="en-US"/>
              </w:rPr>
              <w:t>ing</w:t>
            </w:r>
            <w:r w:rsidRPr="00E23E29">
              <w:rPr>
                <w:rFonts w:ascii="Arial" w:hAnsi="Arial" w:cs="Arial"/>
                <w:sz w:val="24"/>
                <w:szCs w:val="24"/>
                <w:lang w:val="en-US"/>
              </w:rPr>
              <w:t>. One of the o</w:t>
            </w:r>
            <w:r>
              <w:rPr>
                <w:rFonts w:ascii="Arial" w:hAnsi="Arial" w:cs="Arial"/>
                <w:sz w:val="24"/>
                <w:szCs w:val="24"/>
                <w:lang w:val="en-US"/>
              </w:rPr>
              <w:t>utcomes of this initiative is</w:t>
            </w:r>
            <w:r w:rsidRPr="00E23E29">
              <w:rPr>
                <w:rFonts w:ascii="Arial" w:hAnsi="Arial" w:cs="Arial"/>
                <w:sz w:val="24"/>
                <w:szCs w:val="24"/>
                <w:lang w:val="en-US"/>
              </w:rPr>
              <w:t xml:space="preserve"> the guide “Auditing Public Debt Management”, previously mentioned, which will also be subject to a revision process due to </w:t>
            </w:r>
            <w:r>
              <w:rPr>
                <w:rFonts w:ascii="Arial" w:hAnsi="Arial" w:cs="Arial"/>
                <w:sz w:val="24"/>
                <w:szCs w:val="24"/>
                <w:lang w:val="en-US"/>
              </w:rPr>
              <w:t>the necessity to keep it up to date</w:t>
            </w:r>
            <w:r w:rsidRPr="00E23E29">
              <w:rPr>
                <w:rFonts w:ascii="Arial" w:hAnsi="Arial" w:cs="Arial"/>
                <w:sz w:val="24"/>
                <w:szCs w:val="24"/>
                <w:lang w:val="en-US"/>
              </w:rPr>
              <w:t>, as it provides practical audit procedures, questions and tools to assist auditors in conducting audits on nine specific public debt management topics.</w:t>
            </w:r>
          </w:p>
          <w:p w:rsidR="00166519" w:rsidRPr="00C24081" w:rsidRDefault="00166519" w:rsidP="001C1596">
            <w:pPr>
              <w:jc w:val="both"/>
              <w:rPr>
                <w:rFonts w:ascii="Arial" w:hAnsi="Arial" w:cs="Arial"/>
                <w:sz w:val="24"/>
                <w:lang w:val="en-US"/>
              </w:rPr>
            </w:pPr>
          </w:p>
        </w:tc>
        <w:tc>
          <w:tcPr>
            <w:tcW w:w="4423" w:type="dxa"/>
          </w:tcPr>
          <w:p w:rsidR="00C24081" w:rsidRPr="00C24081" w:rsidRDefault="009B6FDA" w:rsidP="00101A71">
            <w:pPr>
              <w:jc w:val="center"/>
              <w:rPr>
                <w:lang w:val="en-US"/>
              </w:rPr>
            </w:pPr>
            <w:r w:rsidRPr="009B6FDA">
              <w:rPr>
                <w:noProof/>
                <w:lang w:val="en-IN" w:eastAsia="en-IN" w:bidi="hi-IN"/>
              </w:rPr>
              <w:drawing>
                <wp:inline distT="0" distB="0" distL="0" distR="0" wp14:anchorId="542F61C4" wp14:editId="38C67345">
                  <wp:extent cx="2232454" cy="1674341"/>
                  <wp:effectExtent l="0" t="0" r="0" b="254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37818" cy="1678364"/>
                          </a:xfrm>
                          <a:prstGeom prst="rect">
                            <a:avLst/>
                          </a:prstGeom>
                        </pic:spPr>
                      </pic:pic>
                    </a:graphicData>
                  </a:graphic>
                </wp:inline>
              </w:drawing>
            </w:r>
          </w:p>
        </w:tc>
      </w:tr>
      <w:tr w:rsidR="00A44EB9" w:rsidRPr="00C24081" w:rsidTr="000173F7">
        <w:tc>
          <w:tcPr>
            <w:tcW w:w="5925" w:type="dxa"/>
          </w:tcPr>
          <w:p w:rsidR="00C24081" w:rsidRDefault="00A44EB9" w:rsidP="00A44EB9">
            <w:pPr>
              <w:tabs>
                <w:tab w:val="left" w:pos="6786"/>
              </w:tabs>
              <w:jc w:val="both"/>
              <w:rPr>
                <w:rFonts w:ascii="Arial" w:hAnsi="Arial" w:cs="Arial"/>
                <w:sz w:val="24"/>
                <w:szCs w:val="24"/>
                <w:lang w:val="en-US"/>
              </w:rPr>
            </w:pPr>
            <w:r w:rsidRPr="00E23E29">
              <w:rPr>
                <w:rFonts w:ascii="Arial" w:hAnsi="Arial" w:cs="Arial"/>
                <w:sz w:val="24"/>
                <w:szCs w:val="24"/>
                <w:lang w:val="en-US"/>
              </w:rPr>
              <w:t xml:space="preserve">Due to the impact and results of this program, as well as the needs and requirements for capacity building identified within the INTOSAI community, the agreement for collaboration between the IDI and the Working Group </w:t>
            </w:r>
            <w:r>
              <w:rPr>
                <w:rFonts w:ascii="Arial" w:hAnsi="Arial" w:cs="Arial"/>
                <w:sz w:val="24"/>
                <w:szCs w:val="24"/>
                <w:lang w:val="en-US"/>
              </w:rPr>
              <w:t>was</w:t>
            </w:r>
            <w:r w:rsidRPr="00E23E29">
              <w:rPr>
                <w:rFonts w:ascii="Arial" w:hAnsi="Arial" w:cs="Arial"/>
                <w:sz w:val="24"/>
                <w:szCs w:val="24"/>
                <w:lang w:val="en-US"/>
              </w:rPr>
              <w:t xml:space="preserve"> renewed</w:t>
            </w:r>
            <w:r>
              <w:rPr>
                <w:rFonts w:ascii="Arial" w:hAnsi="Arial" w:cs="Arial"/>
                <w:sz w:val="24"/>
                <w:szCs w:val="24"/>
                <w:lang w:val="en-US"/>
              </w:rPr>
              <w:t xml:space="preserve"> a couple of years ago</w:t>
            </w:r>
            <w:r w:rsidRPr="00E23E29">
              <w:rPr>
                <w:rFonts w:ascii="Arial" w:hAnsi="Arial" w:cs="Arial"/>
                <w:sz w:val="24"/>
                <w:szCs w:val="24"/>
                <w:lang w:val="en-US"/>
              </w:rPr>
              <w:t xml:space="preserve">. As a result, IDI designed </w:t>
            </w:r>
            <w:r>
              <w:rPr>
                <w:rFonts w:ascii="Arial" w:hAnsi="Arial" w:cs="Arial"/>
                <w:sz w:val="24"/>
                <w:szCs w:val="24"/>
                <w:lang w:val="en-US"/>
              </w:rPr>
              <w:t xml:space="preserve">and launched </w:t>
            </w:r>
            <w:r w:rsidRPr="00E23E29">
              <w:rPr>
                <w:rFonts w:ascii="Arial" w:hAnsi="Arial" w:cs="Arial"/>
                <w:sz w:val="24"/>
                <w:szCs w:val="24"/>
                <w:lang w:val="en-US"/>
              </w:rPr>
              <w:t>a Trans-regional Programme on Strengthening Public Oversight and Audit of Sovereign Le</w:t>
            </w:r>
            <w:r>
              <w:rPr>
                <w:rFonts w:ascii="Arial" w:hAnsi="Arial" w:cs="Arial"/>
                <w:sz w:val="24"/>
                <w:szCs w:val="24"/>
                <w:lang w:val="en-US"/>
              </w:rPr>
              <w:t>nding and Borrowing Frameworks.</w:t>
            </w:r>
          </w:p>
          <w:p w:rsidR="00166519" w:rsidRPr="00A44EB9" w:rsidRDefault="00166519" w:rsidP="00A44EB9">
            <w:pPr>
              <w:tabs>
                <w:tab w:val="left" w:pos="6786"/>
              </w:tabs>
              <w:jc w:val="both"/>
              <w:rPr>
                <w:rFonts w:ascii="Arial" w:hAnsi="Arial" w:cs="Arial"/>
                <w:sz w:val="24"/>
                <w:szCs w:val="24"/>
                <w:lang w:val="en-US"/>
              </w:rPr>
            </w:pPr>
          </w:p>
        </w:tc>
        <w:tc>
          <w:tcPr>
            <w:tcW w:w="4423" w:type="dxa"/>
          </w:tcPr>
          <w:p w:rsidR="00C24081" w:rsidRPr="00C24081" w:rsidRDefault="001C1596" w:rsidP="00101A71">
            <w:pPr>
              <w:jc w:val="center"/>
              <w:rPr>
                <w:lang w:val="en-US"/>
              </w:rPr>
            </w:pPr>
            <w:r w:rsidRPr="001C1596">
              <w:rPr>
                <w:noProof/>
                <w:lang w:val="en-IN" w:eastAsia="en-IN" w:bidi="hi-IN"/>
              </w:rPr>
              <w:drawing>
                <wp:inline distT="0" distB="0" distL="0" distR="0" wp14:anchorId="3B79A5A7" wp14:editId="44D4B99B">
                  <wp:extent cx="2174790" cy="1631092"/>
                  <wp:effectExtent l="0" t="0" r="0" b="762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196232" cy="1647174"/>
                          </a:xfrm>
                          <a:prstGeom prst="rect">
                            <a:avLst/>
                          </a:prstGeom>
                        </pic:spPr>
                      </pic:pic>
                    </a:graphicData>
                  </a:graphic>
                </wp:inline>
              </w:drawing>
            </w:r>
          </w:p>
        </w:tc>
      </w:tr>
      <w:tr w:rsidR="00A44EB9" w:rsidRPr="00C24081" w:rsidTr="000173F7">
        <w:tc>
          <w:tcPr>
            <w:tcW w:w="5925" w:type="dxa"/>
          </w:tcPr>
          <w:p w:rsidR="00C24081" w:rsidRPr="00C24081" w:rsidRDefault="00A44EB9" w:rsidP="00C24081">
            <w:pPr>
              <w:jc w:val="both"/>
              <w:rPr>
                <w:rFonts w:ascii="Arial" w:hAnsi="Arial" w:cs="Arial"/>
                <w:sz w:val="24"/>
                <w:lang w:val="en-US"/>
              </w:rPr>
            </w:pPr>
            <w:r w:rsidRPr="00E23E29">
              <w:rPr>
                <w:rFonts w:ascii="Arial" w:hAnsi="Arial" w:cs="Arial"/>
                <w:sz w:val="24"/>
                <w:szCs w:val="24"/>
                <w:lang w:val="en-US"/>
              </w:rPr>
              <w:t>The objective of this capacity building program is to strengthen the professional and institutional capacity of participating SAIs in conducting in-depth and effective audit of lending and borrowing frameworks, which in turn would result in influencing effective sovereign lending and borrowing practices.</w:t>
            </w:r>
          </w:p>
        </w:tc>
        <w:tc>
          <w:tcPr>
            <w:tcW w:w="4423" w:type="dxa"/>
          </w:tcPr>
          <w:p w:rsidR="00C24081" w:rsidRPr="00C24081" w:rsidRDefault="00A44EB9" w:rsidP="00101A71">
            <w:pPr>
              <w:jc w:val="center"/>
              <w:rPr>
                <w:lang w:val="en-US"/>
              </w:rPr>
            </w:pPr>
            <w:r w:rsidRPr="00A44EB9">
              <w:rPr>
                <w:noProof/>
                <w:lang w:val="en-IN" w:eastAsia="en-IN" w:bidi="hi-IN"/>
              </w:rPr>
              <w:drawing>
                <wp:inline distT="0" distB="0" distL="0" distR="0" wp14:anchorId="51324932" wp14:editId="112EE313">
                  <wp:extent cx="2331307" cy="1748481"/>
                  <wp:effectExtent l="0" t="0" r="0" b="444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343907" cy="1757931"/>
                          </a:xfrm>
                          <a:prstGeom prst="rect">
                            <a:avLst/>
                          </a:prstGeom>
                        </pic:spPr>
                      </pic:pic>
                    </a:graphicData>
                  </a:graphic>
                </wp:inline>
              </w:drawing>
            </w:r>
          </w:p>
        </w:tc>
      </w:tr>
      <w:tr w:rsidR="00A44EB9" w:rsidRPr="00C24081" w:rsidTr="000173F7">
        <w:tc>
          <w:tcPr>
            <w:tcW w:w="5925" w:type="dxa"/>
          </w:tcPr>
          <w:p w:rsidR="00C24081" w:rsidRDefault="00A44EB9" w:rsidP="00C24081">
            <w:pPr>
              <w:jc w:val="both"/>
              <w:rPr>
                <w:rFonts w:ascii="Arial" w:hAnsi="Arial" w:cs="Arial"/>
                <w:sz w:val="24"/>
                <w:szCs w:val="24"/>
                <w:lang w:val="en-US"/>
              </w:rPr>
            </w:pPr>
            <w:r w:rsidRPr="00E23E29">
              <w:rPr>
                <w:rFonts w:ascii="Arial" w:hAnsi="Arial" w:cs="Arial"/>
                <w:sz w:val="24"/>
                <w:szCs w:val="24"/>
                <w:lang w:val="en-US"/>
              </w:rPr>
              <w:lastRenderedPageBreak/>
              <w:t xml:space="preserve">This IDI’s initiative is a joint effort with the Working Group on Public Debt and UNCTAD. Until now, </w:t>
            </w:r>
            <w:r>
              <w:rPr>
                <w:rFonts w:ascii="Arial" w:hAnsi="Arial" w:cs="Arial"/>
                <w:sz w:val="24"/>
                <w:szCs w:val="24"/>
                <w:lang w:val="en-US"/>
              </w:rPr>
              <w:t xml:space="preserve">working </w:t>
            </w:r>
            <w:r w:rsidRPr="00E23E29">
              <w:rPr>
                <w:rFonts w:ascii="Arial" w:hAnsi="Arial" w:cs="Arial"/>
                <w:sz w:val="24"/>
                <w:szCs w:val="24"/>
                <w:lang w:val="en-US"/>
              </w:rPr>
              <w:t>meetings in different INTOSAI regions have been held, including OLACEFS and ASOSAI, with the participation of senior management of the SAIs to ensure proper understanding of the requirements, relevance and results of the program, and</w:t>
            </w:r>
            <w:r>
              <w:rPr>
                <w:rFonts w:ascii="Arial" w:hAnsi="Arial" w:cs="Arial"/>
                <w:sz w:val="24"/>
                <w:szCs w:val="24"/>
                <w:lang w:val="en-US"/>
              </w:rPr>
              <w:t xml:space="preserve"> also the involvement of audit staff to conduct the corresponding activities. </w:t>
            </w:r>
            <w:r w:rsidRPr="00E23E29">
              <w:rPr>
                <w:rFonts w:ascii="Arial" w:hAnsi="Arial" w:cs="Arial"/>
                <w:sz w:val="24"/>
                <w:szCs w:val="24"/>
                <w:lang w:val="en-US"/>
              </w:rPr>
              <w:t>The WGPD will continue collaborating and strengthening the working relationship with the IDI.</w:t>
            </w:r>
          </w:p>
          <w:p w:rsidR="00166519" w:rsidRPr="00C24081" w:rsidRDefault="00166519" w:rsidP="00C24081">
            <w:pPr>
              <w:jc w:val="both"/>
              <w:rPr>
                <w:rFonts w:ascii="Arial" w:hAnsi="Arial" w:cs="Arial"/>
                <w:sz w:val="24"/>
                <w:lang w:val="en-US"/>
              </w:rPr>
            </w:pPr>
          </w:p>
        </w:tc>
        <w:tc>
          <w:tcPr>
            <w:tcW w:w="4423" w:type="dxa"/>
          </w:tcPr>
          <w:p w:rsidR="00C24081" w:rsidRPr="00C24081" w:rsidRDefault="00A44EB9" w:rsidP="00101A71">
            <w:pPr>
              <w:jc w:val="center"/>
              <w:rPr>
                <w:lang w:val="en-US"/>
              </w:rPr>
            </w:pPr>
            <w:r w:rsidRPr="00A44EB9">
              <w:rPr>
                <w:noProof/>
                <w:lang w:val="en-IN" w:eastAsia="en-IN" w:bidi="hi-IN"/>
              </w:rPr>
              <w:drawing>
                <wp:inline distT="0" distB="0" distL="0" distR="0" wp14:anchorId="1014765B" wp14:editId="7C0D39DA">
                  <wp:extent cx="2267464" cy="1700598"/>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276471" cy="1707353"/>
                          </a:xfrm>
                          <a:prstGeom prst="rect">
                            <a:avLst/>
                          </a:prstGeom>
                        </pic:spPr>
                      </pic:pic>
                    </a:graphicData>
                  </a:graphic>
                </wp:inline>
              </w:drawing>
            </w:r>
          </w:p>
        </w:tc>
      </w:tr>
      <w:tr w:rsidR="00A44EB9" w:rsidRPr="00C24081" w:rsidTr="000173F7">
        <w:tc>
          <w:tcPr>
            <w:tcW w:w="5925" w:type="dxa"/>
          </w:tcPr>
          <w:p w:rsidR="00C24081" w:rsidRDefault="00A44EB9" w:rsidP="00C24081">
            <w:pPr>
              <w:jc w:val="both"/>
              <w:rPr>
                <w:rFonts w:ascii="Arial" w:hAnsi="Arial" w:cs="Arial"/>
                <w:sz w:val="24"/>
                <w:szCs w:val="24"/>
                <w:lang w:val="en-US"/>
              </w:rPr>
            </w:pPr>
            <w:r w:rsidRPr="00E23E29">
              <w:rPr>
                <w:rFonts w:ascii="Arial" w:hAnsi="Arial" w:cs="Arial"/>
                <w:sz w:val="24"/>
                <w:szCs w:val="24"/>
                <w:lang w:val="en-US"/>
              </w:rPr>
              <w:t xml:space="preserve">To promote capacity building and </w:t>
            </w:r>
            <w:r>
              <w:rPr>
                <w:rFonts w:ascii="Arial" w:hAnsi="Arial" w:cs="Arial"/>
                <w:sz w:val="24"/>
                <w:szCs w:val="24"/>
                <w:lang w:val="en-US"/>
              </w:rPr>
              <w:t xml:space="preserve">to </w:t>
            </w:r>
            <w:r w:rsidRPr="00E23E29">
              <w:rPr>
                <w:rFonts w:ascii="Arial" w:hAnsi="Arial" w:cs="Arial"/>
                <w:sz w:val="24"/>
                <w:szCs w:val="24"/>
                <w:lang w:val="en-US"/>
              </w:rPr>
              <w:t>improve the expertise of SAIs about public debt audit</w:t>
            </w:r>
            <w:r>
              <w:rPr>
                <w:rFonts w:ascii="Arial" w:hAnsi="Arial" w:cs="Arial"/>
                <w:sz w:val="24"/>
                <w:szCs w:val="24"/>
                <w:lang w:val="en-US"/>
              </w:rPr>
              <w:t>ing</w:t>
            </w:r>
            <w:r w:rsidRPr="00E23E29">
              <w:rPr>
                <w:rFonts w:ascii="Arial" w:hAnsi="Arial" w:cs="Arial"/>
                <w:sz w:val="24"/>
                <w:szCs w:val="24"/>
                <w:lang w:val="en-US"/>
              </w:rPr>
              <w:t xml:space="preserve">, </w:t>
            </w:r>
            <w:r>
              <w:rPr>
                <w:rFonts w:ascii="Arial" w:hAnsi="Arial" w:cs="Arial"/>
                <w:sz w:val="24"/>
                <w:szCs w:val="24"/>
                <w:lang w:val="en-US"/>
              </w:rPr>
              <w:t xml:space="preserve">the </w:t>
            </w:r>
            <w:r w:rsidRPr="00E23E29">
              <w:rPr>
                <w:rFonts w:ascii="Arial" w:hAnsi="Arial" w:cs="Arial"/>
                <w:sz w:val="24"/>
                <w:szCs w:val="24"/>
                <w:lang w:val="en-US"/>
              </w:rPr>
              <w:t xml:space="preserve">exchange of experiences and knowledge within the Working Group is promoted. </w:t>
            </w:r>
            <w:r>
              <w:rPr>
                <w:rFonts w:ascii="Arial" w:hAnsi="Arial" w:cs="Arial"/>
                <w:sz w:val="24"/>
                <w:szCs w:val="24"/>
                <w:lang w:val="en-US"/>
              </w:rPr>
              <w:t>The WG</w:t>
            </w:r>
            <w:r w:rsidRPr="00E23E29">
              <w:rPr>
                <w:rFonts w:ascii="Arial" w:hAnsi="Arial" w:cs="Arial"/>
                <w:sz w:val="24"/>
                <w:szCs w:val="24"/>
                <w:lang w:val="en-US"/>
              </w:rPr>
              <w:t xml:space="preserve"> website and physical meetings aim to constitute virtual and physical spaces to present best practices, to discuss the challenges faced and to exchange views on innovative methodologies</w:t>
            </w:r>
            <w:r>
              <w:rPr>
                <w:rFonts w:ascii="Arial" w:hAnsi="Arial" w:cs="Arial"/>
                <w:sz w:val="24"/>
                <w:szCs w:val="24"/>
                <w:lang w:val="en-US"/>
              </w:rPr>
              <w:t>,</w:t>
            </w:r>
            <w:r w:rsidRPr="00E23E29">
              <w:rPr>
                <w:rFonts w:ascii="Arial" w:hAnsi="Arial" w:cs="Arial"/>
                <w:sz w:val="24"/>
                <w:szCs w:val="24"/>
                <w:lang w:val="en-US"/>
              </w:rPr>
              <w:t xml:space="preserve"> new developments</w:t>
            </w:r>
            <w:r>
              <w:rPr>
                <w:rFonts w:ascii="Arial" w:hAnsi="Arial" w:cs="Arial"/>
                <w:sz w:val="24"/>
                <w:szCs w:val="24"/>
                <w:lang w:val="en-US"/>
              </w:rPr>
              <w:t>, and issues of mutual concern</w:t>
            </w:r>
            <w:r w:rsidRPr="00E23E29">
              <w:rPr>
                <w:rFonts w:ascii="Arial" w:hAnsi="Arial" w:cs="Arial"/>
                <w:sz w:val="24"/>
                <w:szCs w:val="24"/>
                <w:lang w:val="en-US"/>
              </w:rPr>
              <w:t xml:space="preserve"> related to the </w:t>
            </w:r>
            <w:r>
              <w:rPr>
                <w:rFonts w:ascii="Arial" w:hAnsi="Arial" w:cs="Arial"/>
                <w:sz w:val="24"/>
                <w:szCs w:val="24"/>
                <w:lang w:val="en-US"/>
              </w:rPr>
              <w:t xml:space="preserve">audit of </w:t>
            </w:r>
            <w:r w:rsidRPr="00E23E29">
              <w:rPr>
                <w:rFonts w:ascii="Arial" w:hAnsi="Arial" w:cs="Arial"/>
                <w:sz w:val="24"/>
                <w:szCs w:val="24"/>
                <w:lang w:val="en-US"/>
              </w:rPr>
              <w:t>public debt</w:t>
            </w:r>
            <w:r>
              <w:rPr>
                <w:rFonts w:ascii="Arial" w:hAnsi="Arial" w:cs="Arial"/>
                <w:sz w:val="24"/>
                <w:szCs w:val="24"/>
                <w:lang w:val="en-US"/>
              </w:rPr>
              <w:t xml:space="preserve">. Therefore, the updating </w:t>
            </w:r>
            <w:r w:rsidRPr="00E23E29">
              <w:rPr>
                <w:rFonts w:ascii="Arial" w:hAnsi="Arial" w:cs="Arial"/>
                <w:sz w:val="24"/>
                <w:szCs w:val="24"/>
                <w:lang w:val="en-US"/>
              </w:rPr>
              <w:t xml:space="preserve">of the Working Group website </w:t>
            </w:r>
            <w:r>
              <w:rPr>
                <w:rFonts w:ascii="Arial" w:hAnsi="Arial" w:cs="Arial"/>
                <w:sz w:val="24"/>
                <w:szCs w:val="24"/>
                <w:lang w:val="en-US"/>
              </w:rPr>
              <w:t>is an activity looked after by its membership.</w:t>
            </w:r>
          </w:p>
          <w:p w:rsidR="00166519" w:rsidRPr="00A44EB9" w:rsidRDefault="00166519" w:rsidP="00C24081">
            <w:pPr>
              <w:jc w:val="both"/>
              <w:rPr>
                <w:rFonts w:ascii="Arial" w:hAnsi="Arial" w:cs="Arial"/>
                <w:sz w:val="24"/>
                <w:szCs w:val="24"/>
                <w:lang w:val="en-US"/>
              </w:rPr>
            </w:pPr>
          </w:p>
        </w:tc>
        <w:tc>
          <w:tcPr>
            <w:tcW w:w="4423" w:type="dxa"/>
          </w:tcPr>
          <w:p w:rsidR="00C24081" w:rsidRPr="00C24081" w:rsidRDefault="00A44EB9" w:rsidP="00101A71">
            <w:pPr>
              <w:jc w:val="center"/>
              <w:rPr>
                <w:lang w:val="en-US"/>
              </w:rPr>
            </w:pPr>
            <w:r w:rsidRPr="00A44EB9">
              <w:rPr>
                <w:noProof/>
                <w:lang w:val="en-IN" w:eastAsia="en-IN" w:bidi="hi-IN"/>
              </w:rPr>
              <w:drawing>
                <wp:inline distT="0" distB="0" distL="0" distR="0" wp14:anchorId="7DF11265" wp14:editId="245B9BF6">
                  <wp:extent cx="2283940" cy="1712955"/>
                  <wp:effectExtent l="0" t="0" r="2540" b="190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312777" cy="1734583"/>
                          </a:xfrm>
                          <a:prstGeom prst="rect">
                            <a:avLst/>
                          </a:prstGeom>
                        </pic:spPr>
                      </pic:pic>
                    </a:graphicData>
                  </a:graphic>
                </wp:inline>
              </w:drawing>
            </w:r>
          </w:p>
        </w:tc>
      </w:tr>
      <w:tr w:rsidR="00A44EB9" w:rsidRPr="00C24081" w:rsidTr="000173F7">
        <w:tc>
          <w:tcPr>
            <w:tcW w:w="5925" w:type="dxa"/>
          </w:tcPr>
          <w:p w:rsidR="00C24081" w:rsidRPr="00A44EB9" w:rsidRDefault="00A44EB9" w:rsidP="00C24081">
            <w:pPr>
              <w:jc w:val="both"/>
              <w:rPr>
                <w:rFonts w:ascii="Arial" w:hAnsi="Arial" w:cs="Arial"/>
                <w:sz w:val="24"/>
                <w:szCs w:val="24"/>
                <w:lang w:val="en-US"/>
              </w:rPr>
            </w:pPr>
            <w:r w:rsidRPr="00E23E29">
              <w:rPr>
                <w:rFonts w:ascii="Arial" w:hAnsi="Arial" w:cs="Arial"/>
                <w:sz w:val="24"/>
                <w:szCs w:val="24"/>
                <w:lang w:val="en-US"/>
              </w:rPr>
              <w:t>In addition, following the INTOSAI’s motto, the Working Group has maintained a collaborative relationship with relevant partners, including the World Bank, UNITAR, UNCTAD, the Inter-American Development Bank, and more recently the OECD, by implementing a virtual platform to share knowledge.</w:t>
            </w:r>
          </w:p>
        </w:tc>
        <w:tc>
          <w:tcPr>
            <w:tcW w:w="4423" w:type="dxa"/>
          </w:tcPr>
          <w:p w:rsidR="00C24081" w:rsidRPr="00C24081" w:rsidRDefault="00A44EB9" w:rsidP="00101A71">
            <w:pPr>
              <w:jc w:val="center"/>
              <w:rPr>
                <w:lang w:val="en-US"/>
              </w:rPr>
            </w:pPr>
            <w:r w:rsidRPr="00A44EB9">
              <w:rPr>
                <w:noProof/>
                <w:lang w:val="en-IN" w:eastAsia="en-IN" w:bidi="hi-IN"/>
              </w:rPr>
              <w:drawing>
                <wp:inline distT="0" distB="0" distL="0" distR="0" wp14:anchorId="622AC776" wp14:editId="1E32F786">
                  <wp:extent cx="2372497" cy="1779373"/>
                  <wp:effectExtent l="0" t="0" r="889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394372" cy="1795779"/>
                          </a:xfrm>
                          <a:prstGeom prst="rect">
                            <a:avLst/>
                          </a:prstGeom>
                        </pic:spPr>
                      </pic:pic>
                    </a:graphicData>
                  </a:graphic>
                </wp:inline>
              </w:drawing>
            </w:r>
          </w:p>
        </w:tc>
      </w:tr>
      <w:tr w:rsidR="00A44EB9" w:rsidRPr="00C24081" w:rsidTr="000173F7">
        <w:tc>
          <w:tcPr>
            <w:tcW w:w="5925" w:type="dxa"/>
          </w:tcPr>
          <w:p w:rsidR="00A44EB9" w:rsidRDefault="00A44EB9" w:rsidP="00790051">
            <w:pPr>
              <w:jc w:val="both"/>
              <w:rPr>
                <w:rFonts w:ascii="Arial" w:hAnsi="Arial" w:cs="Arial"/>
                <w:sz w:val="24"/>
                <w:szCs w:val="24"/>
                <w:lang w:val="en-US"/>
              </w:rPr>
            </w:pPr>
            <w:r w:rsidRPr="00E23E29">
              <w:rPr>
                <w:rFonts w:ascii="Arial" w:hAnsi="Arial" w:cs="Arial"/>
                <w:sz w:val="24"/>
                <w:szCs w:val="24"/>
                <w:lang w:val="en-US"/>
              </w:rPr>
              <w:t>To be recognized as the leading forum for its excellence in technical contributions, and capacity building projects related to public deb</w:t>
            </w:r>
            <w:r>
              <w:rPr>
                <w:rFonts w:ascii="Arial" w:hAnsi="Arial" w:cs="Arial"/>
                <w:sz w:val="24"/>
                <w:szCs w:val="24"/>
                <w:lang w:val="en-US"/>
              </w:rPr>
              <w:t>t auditing</w:t>
            </w:r>
            <w:r w:rsidRPr="00E23E29">
              <w:rPr>
                <w:rFonts w:ascii="Arial" w:hAnsi="Arial" w:cs="Arial"/>
                <w:sz w:val="24"/>
                <w:szCs w:val="24"/>
                <w:lang w:val="en-US"/>
              </w:rPr>
              <w:t xml:space="preserve">, as well as the relevance of its publications, </w:t>
            </w:r>
            <w:r>
              <w:rPr>
                <w:rFonts w:ascii="Arial" w:hAnsi="Arial" w:cs="Arial"/>
                <w:sz w:val="24"/>
                <w:szCs w:val="24"/>
                <w:lang w:val="en-US"/>
              </w:rPr>
              <w:t>the Working Group</w:t>
            </w:r>
            <w:r w:rsidRPr="00E23E29">
              <w:rPr>
                <w:rFonts w:ascii="Arial" w:hAnsi="Arial" w:cs="Arial"/>
                <w:sz w:val="24"/>
                <w:szCs w:val="24"/>
                <w:lang w:val="en-US"/>
              </w:rPr>
              <w:t xml:space="preserve"> </w:t>
            </w:r>
            <w:r>
              <w:rPr>
                <w:rFonts w:ascii="Arial" w:hAnsi="Arial" w:cs="Arial"/>
                <w:sz w:val="24"/>
                <w:szCs w:val="24"/>
                <w:lang w:val="en-US"/>
              </w:rPr>
              <w:t xml:space="preserve">members have agreed to </w:t>
            </w:r>
            <w:r w:rsidRPr="00E23E29">
              <w:rPr>
                <w:rFonts w:ascii="Arial" w:hAnsi="Arial" w:cs="Arial"/>
                <w:sz w:val="24"/>
                <w:szCs w:val="24"/>
                <w:lang w:val="en-US"/>
              </w:rPr>
              <w:t>revi</w:t>
            </w:r>
            <w:r>
              <w:rPr>
                <w:rFonts w:ascii="Arial" w:hAnsi="Arial" w:cs="Arial"/>
                <w:sz w:val="24"/>
                <w:szCs w:val="24"/>
                <w:lang w:val="en-US"/>
              </w:rPr>
              <w:t>se</w:t>
            </w:r>
            <w:r w:rsidRPr="00E23E29">
              <w:rPr>
                <w:rFonts w:ascii="Arial" w:hAnsi="Arial" w:cs="Arial"/>
                <w:sz w:val="24"/>
                <w:szCs w:val="24"/>
                <w:lang w:val="en-US"/>
              </w:rPr>
              <w:t xml:space="preserve"> </w:t>
            </w:r>
            <w:r>
              <w:rPr>
                <w:rFonts w:ascii="Arial" w:hAnsi="Arial" w:cs="Arial"/>
                <w:sz w:val="24"/>
                <w:szCs w:val="24"/>
                <w:lang w:val="en-US"/>
              </w:rPr>
              <w:t xml:space="preserve">its </w:t>
            </w:r>
            <w:r w:rsidRPr="00E23E29">
              <w:rPr>
                <w:rFonts w:ascii="Arial" w:hAnsi="Arial" w:cs="Arial"/>
                <w:sz w:val="24"/>
                <w:szCs w:val="24"/>
                <w:lang w:val="en-US"/>
              </w:rPr>
              <w:t xml:space="preserve">Strategic Plan. </w:t>
            </w:r>
            <w:r>
              <w:rPr>
                <w:rFonts w:ascii="Arial" w:hAnsi="Arial" w:cs="Arial"/>
                <w:sz w:val="24"/>
                <w:szCs w:val="24"/>
                <w:lang w:val="en-US"/>
              </w:rPr>
              <w:t>This task will be conducted taking into account not only the ne</w:t>
            </w:r>
            <w:r w:rsidRPr="00E23E29">
              <w:rPr>
                <w:rFonts w:ascii="Arial" w:hAnsi="Arial" w:cs="Arial"/>
                <w:sz w:val="24"/>
                <w:szCs w:val="24"/>
                <w:lang w:val="en-US"/>
              </w:rPr>
              <w:t xml:space="preserve">w developments and </w:t>
            </w:r>
            <w:r>
              <w:rPr>
                <w:rFonts w:ascii="Arial" w:hAnsi="Arial" w:cs="Arial"/>
                <w:sz w:val="24"/>
                <w:szCs w:val="24"/>
                <w:lang w:val="en-US"/>
              </w:rPr>
              <w:t>challenges faced by the INTOSAI, but also the Organization’s strategic planning for the period 2017-2022</w:t>
            </w:r>
            <w:r w:rsidRPr="00E23E29">
              <w:rPr>
                <w:rFonts w:ascii="Arial" w:hAnsi="Arial" w:cs="Arial"/>
                <w:sz w:val="24"/>
                <w:szCs w:val="24"/>
                <w:lang w:val="en-US"/>
              </w:rPr>
              <w:t>.</w:t>
            </w:r>
            <w:r>
              <w:rPr>
                <w:rFonts w:ascii="Arial" w:hAnsi="Arial" w:cs="Arial"/>
                <w:sz w:val="24"/>
                <w:szCs w:val="24"/>
                <w:lang w:val="en-US"/>
              </w:rPr>
              <w:t xml:space="preserve"> Virtual discussion fora and the results of a </w:t>
            </w:r>
            <w:r w:rsidRPr="00E23E29">
              <w:rPr>
                <w:rFonts w:ascii="Arial" w:hAnsi="Arial" w:cs="Arial"/>
                <w:sz w:val="24"/>
                <w:szCs w:val="24"/>
                <w:lang w:val="en-US"/>
              </w:rPr>
              <w:t>survey on the impact of the Working Gr</w:t>
            </w:r>
            <w:r>
              <w:rPr>
                <w:rFonts w:ascii="Arial" w:hAnsi="Arial" w:cs="Arial"/>
                <w:sz w:val="24"/>
                <w:szCs w:val="24"/>
                <w:lang w:val="en-US"/>
              </w:rPr>
              <w:t>oup within the INTOSAI community, will also be useful inputs in this process.</w:t>
            </w:r>
          </w:p>
          <w:p w:rsidR="00166519" w:rsidRPr="00C24081" w:rsidRDefault="00166519" w:rsidP="00790051">
            <w:pPr>
              <w:jc w:val="both"/>
              <w:rPr>
                <w:rFonts w:ascii="Arial" w:hAnsi="Arial" w:cs="Arial"/>
                <w:sz w:val="24"/>
                <w:lang w:val="en-US"/>
              </w:rPr>
            </w:pPr>
          </w:p>
        </w:tc>
        <w:tc>
          <w:tcPr>
            <w:tcW w:w="4423" w:type="dxa"/>
          </w:tcPr>
          <w:p w:rsidR="00A44EB9" w:rsidRPr="00C24081" w:rsidRDefault="00A44EB9" w:rsidP="00101A71">
            <w:pPr>
              <w:jc w:val="center"/>
              <w:rPr>
                <w:lang w:val="en-US"/>
              </w:rPr>
            </w:pPr>
            <w:r w:rsidRPr="00A44EB9">
              <w:rPr>
                <w:noProof/>
                <w:lang w:val="en-IN" w:eastAsia="en-IN" w:bidi="hi-IN"/>
              </w:rPr>
              <w:drawing>
                <wp:inline distT="0" distB="0" distL="0" distR="0" wp14:anchorId="2ED9CCDA" wp14:editId="74948EC0">
                  <wp:extent cx="2162431" cy="1621824"/>
                  <wp:effectExtent l="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179443" cy="1634583"/>
                          </a:xfrm>
                          <a:prstGeom prst="rect">
                            <a:avLst/>
                          </a:prstGeom>
                        </pic:spPr>
                      </pic:pic>
                    </a:graphicData>
                  </a:graphic>
                </wp:inline>
              </w:drawing>
            </w:r>
          </w:p>
        </w:tc>
      </w:tr>
      <w:tr w:rsidR="00A44EB9" w:rsidRPr="00C24081" w:rsidTr="000173F7">
        <w:tc>
          <w:tcPr>
            <w:tcW w:w="5925" w:type="dxa"/>
          </w:tcPr>
          <w:p w:rsidR="00A44EB9" w:rsidRDefault="00A44EB9" w:rsidP="00A44EB9">
            <w:pPr>
              <w:jc w:val="both"/>
              <w:rPr>
                <w:rFonts w:ascii="Arial" w:hAnsi="Arial" w:cs="Arial"/>
                <w:sz w:val="24"/>
                <w:szCs w:val="24"/>
                <w:lang w:val="en-US"/>
              </w:rPr>
            </w:pPr>
            <w:r>
              <w:rPr>
                <w:rFonts w:ascii="Arial" w:hAnsi="Arial" w:cs="Arial"/>
                <w:sz w:val="24"/>
                <w:szCs w:val="24"/>
                <w:lang w:val="en-US"/>
              </w:rPr>
              <w:lastRenderedPageBreak/>
              <w:t xml:space="preserve">Last but not least, after more than twenty years as Chair of the Working Group on Public Debt, the SAI of Mexico will call for nominations to occupy this honorable position. Valuable outcomes have been achieved during these two decades thanks to the </w:t>
            </w:r>
            <w:r w:rsidRPr="00E23E29">
              <w:rPr>
                <w:rFonts w:ascii="Arial" w:hAnsi="Arial" w:cs="Arial"/>
                <w:sz w:val="24"/>
                <w:szCs w:val="24"/>
                <w:lang w:val="en-US"/>
              </w:rPr>
              <w:t xml:space="preserve">active participation, productivity and commitment </w:t>
            </w:r>
            <w:r>
              <w:rPr>
                <w:rFonts w:ascii="Arial" w:hAnsi="Arial" w:cs="Arial"/>
                <w:sz w:val="24"/>
                <w:szCs w:val="24"/>
                <w:lang w:val="en-US"/>
              </w:rPr>
              <w:t>of all member</w:t>
            </w:r>
            <w:r w:rsidRPr="00E23E29">
              <w:rPr>
                <w:rFonts w:ascii="Arial" w:hAnsi="Arial" w:cs="Arial"/>
                <w:sz w:val="24"/>
                <w:szCs w:val="24"/>
                <w:lang w:val="en-US"/>
              </w:rPr>
              <w:t xml:space="preserve"> SAIs of the Working Group</w:t>
            </w:r>
            <w:r>
              <w:rPr>
                <w:rFonts w:ascii="Arial" w:hAnsi="Arial" w:cs="Arial"/>
                <w:sz w:val="24"/>
                <w:szCs w:val="24"/>
                <w:lang w:val="en-US"/>
              </w:rPr>
              <w:t xml:space="preserve">, and to the support provided by the INTOSAI authorities, including the KSC Steering Committee. </w:t>
            </w:r>
          </w:p>
          <w:p w:rsidR="00A44EB9" w:rsidRDefault="00A44EB9" w:rsidP="00A44EB9">
            <w:pPr>
              <w:jc w:val="both"/>
              <w:rPr>
                <w:rFonts w:ascii="Arial" w:hAnsi="Arial" w:cs="Arial"/>
                <w:sz w:val="24"/>
                <w:szCs w:val="24"/>
                <w:lang w:val="en-US"/>
              </w:rPr>
            </w:pPr>
          </w:p>
          <w:p w:rsidR="00A44EB9" w:rsidRDefault="00A44EB9" w:rsidP="00790051">
            <w:pPr>
              <w:jc w:val="both"/>
              <w:rPr>
                <w:rFonts w:ascii="Arial" w:hAnsi="Arial" w:cs="Arial"/>
                <w:sz w:val="24"/>
                <w:szCs w:val="24"/>
                <w:lang w:val="en-US"/>
              </w:rPr>
            </w:pPr>
            <w:r>
              <w:rPr>
                <w:rFonts w:ascii="Arial" w:hAnsi="Arial" w:cs="Arial"/>
                <w:sz w:val="24"/>
                <w:szCs w:val="24"/>
                <w:lang w:val="en-US"/>
              </w:rPr>
              <w:t>In this regard, the last meeting to be chaired by the SAI of Mexico will be the one to be hosted in 2016 by the SAI of China, which kindly volunteered to organize our annual encounter during the first semester. Thus, the XXII INCOSAI will be the ideal setting to hand over the WGPD Chair. I am confident that this renewal will bring new perspectives to continue effectively addressing the Working Group’s agenda, considering its relevant contribution to the INTOSAI community.</w:t>
            </w:r>
          </w:p>
          <w:p w:rsidR="000A467F" w:rsidRPr="00A44EB9" w:rsidRDefault="000A467F" w:rsidP="00790051">
            <w:pPr>
              <w:jc w:val="both"/>
              <w:rPr>
                <w:rFonts w:ascii="Arial" w:hAnsi="Arial" w:cs="Arial"/>
                <w:sz w:val="24"/>
                <w:szCs w:val="24"/>
                <w:lang w:val="en-US"/>
              </w:rPr>
            </w:pPr>
          </w:p>
        </w:tc>
        <w:tc>
          <w:tcPr>
            <w:tcW w:w="4423" w:type="dxa"/>
          </w:tcPr>
          <w:p w:rsidR="00A44EB9" w:rsidRPr="00C24081" w:rsidRDefault="00166519" w:rsidP="00101A71">
            <w:pPr>
              <w:jc w:val="center"/>
              <w:rPr>
                <w:lang w:val="en-US"/>
              </w:rPr>
            </w:pPr>
            <w:r w:rsidRPr="00166519">
              <w:rPr>
                <w:noProof/>
                <w:lang w:val="en-IN" w:eastAsia="en-IN" w:bidi="hi-IN"/>
              </w:rPr>
              <w:drawing>
                <wp:inline distT="0" distB="0" distL="0" distR="0" wp14:anchorId="1584E8E0" wp14:editId="26E68728">
                  <wp:extent cx="2353961" cy="1765471"/>
                  <wp:effectExtent l="0" t="0" r="8255" b="635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354290" cy="1765718"/>
                          </a:xfrm>
                          <a:prstGeom prst="rect">
                            <a:avLst/>
                          </a:prstGeom>
                        </pic:spPr>
                      </pic:pic>
                    </a:graphicData>
                  </a:graphic>
                </wp:inline>
              </w:drawing>
            </w:r>
          </w:p>
        </w:tc>
      </w:tr>
      <w:tr w:rsidR="00A44EB9" w:rsidRPr="00C24081" w:rsidTr="000173F7">
        <w:tc>
          <w:tcPr>
            <w:tcW w:w="5925" w:type="dxa"/>
          </w:tcPr>
          <w:p w:rsidR="00A44EB9" w:rsidRPr="00A44EB9" w:rsidRDefault="00A44EB9" w:rsidP="00790051">
            <w:pPr>
              <w:jc w:val="both"/>
              <w:rPr>
                <w:rFonts w:ascii="Arial" w:hAnsi="Arial" w:cs="Arial"/>
                <w:sz w:val="24"/>
                <w:szCs w:val="24"/>
                <w:lang w:val="en-US"/>
              </w:rPr>
            </w:pPr>
            <w:r w:rsidRPr="00E23E29">
              <w:rPr>
                <w:rFonts w:ascii="Arial" w:hAnsi="Arial" w:cs="Arial"/>
                <w:sz w:val="24"/>
                <w:szCs w:val="24"/>
                <w:lang w:val="en-US"/>
              </w:rPr>
              <w:t>Ladies and gentlemen, thank you very much.</w:t>
            </w:r>
          </w:p>
        </w:tc>
        <w:tc>
          <w:tcPr>
            <w:tcW w:w="4423" w:type="dxa"/>
          </w:tcPr>
          <w:p w:rsidR="00A44EB9" w:rsidRPr="00C24081" w:rsidRDefault="000173F7" w:rsidP="00101A71">
            <w:pPr>
              <w:jc w:val="center"/>
              <w:rPr>
                <w:lang w:val="en-US"/>
              </w:rPr>
            </w:pPr>
            <w:r w:rsidRPr="000173F7">
              <w:rPr>
                <w:noProof/>
                <w:lang w:val="en-IN" w:eastAsia="en-IN" w:bidi="hi-IN"/>
              </w:rPr>
              <w:drawing>
                <wp:inline distT="0" distB="0" distL="0" distR="0" wp14:anchorId="25BBF281" wp14:editId="3652FFD4">
                  <wp:extent cx="2273642" cy="1705232"/>
                  <wp:effectExtent l="0" t="0" r="0"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273960" cy="1705470"/>
                          </a:xfrm>
                          <a:prstGeom prst="rect">
                            <a:avLst/>
                          </a:prstGeom>
                        </pic:spPr>
                      </pic:pic>
                    </a:graphicData>
                  </a:graphic>
                </wp:inline>
              </w:drawing>
            </w:r>
          </w:p>
        </w:tc>
      </w:tr>
      <w:tr w:rsidR="00A44EB9" w:rsidRPr="00C24081" w:rsidTr="000173F7">
        <w:tc>
          <w:tcPr>
            <w:tcW w:w="5925" w:type="dxa"/>
          </w:tcPr>
          <w:p w:rsidR="00A44EB9" w:rsidRPr="00C24081" w:rsidRDefault="00A44EB9" w:rsidP="00790051">
            <w:pPr>
              <w:jc w:val="both"/>
              <w:rPr>
                <w:rFonts w:ascii="Arial" w:hAnsi="Arial" w:cs="Arial"/>
                <w:sz w:val="24"/>
                <w:lang w:val="en-US"/>
              </w:rPr>
            </w:pPr>
          </w:p>
        </w:tc>
        <w:tc>
          <w:tcPr>
            <w:tcW w:w="4423" w:type="dxa"/>
          </w:tcPr>
          <w:p w:rsidR="00A44EB9" w:rsidRPr="00C24081" w:rsidRDefault="000173F7" w:rsidP="00101A71">
            <w:pPr>
              <w:jc w:val="center"/>
              <w:rPr>
                <w:lang w:val="en-US"/>
              </w:rPr>
            </w:pPr>
            <w:r w:rsidRPr="000173F7">
              <w:rPr>
                <w:noProof/>
                <w:lang w:val="en-IN" w:eastAsia="en-IN" w:bidi="hi-IN"/>
              </w:rPr>
              <w:drawing>
                <wp:inline distT="0" distB="0" distL="0" distR="0" wp14:anchorId="21049726" wp14:editId="48273EB5">
                  <wp:extent cx="2364259" cy="1773195"/>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364589" cy="1773443"/>
                          </a:xfrm>
                          <a:prstGeom prst="rect">
                            <a:avLst/>
                          </a:prstGeom>
                        </pic:spPr>
                      </pic:pic>
                    </a:graphicData>
                  </a:graphic>
                </wp:inline>
              </w:drawing>
            </w:r>
          </w:p>
        </w:tc>
      </w:tr>
      <w:tr w:rsidR="00A44EB9" w:rsidRPr="00C24081" w:rsidTr="000173F7">
        <w:tc>
          <w:tcPr>
            <w:tcW w:w="5925" w:type="dxa"/>
          </w:tcPr>
          <w:p w:rsidR="000676E4" w:rsidRPr="00C24081" w:rsidRDefault="000676E4" w:rsidP="00C24081">
            <w:pPr>
              <w:jc w:val="both"/>
              <w:rPr>
                <w:rFonts w:ascii="Arial" w:hAnsi="Arial" w:cs="Arial"/>
                <w:sz w:val="24"/>
                <w:lang w:val="en-US"/>
              </w:rPr>
            </w:pPr>
          </w:p>
        </w:tc>
        <w:tc>
          <w:tcPr>
            <w:tcW w:w="4423" w:type="dxa"/>
          </w:tcPr>
          <w:p w:rsidR="000676E4" w:rsidRPr="00C24081" w:rsidRDefault="000173F7" w:rsidP="00101A71">
            <w:pPr>
              <w:jc w:val="center"/>
              <w:rPr>
                <w:lang w:val="en-US"/>
              </w:rPr>
            </w:pPr>
            <w:r w:rsidRPr="000173F7">
              <w:rPr>
                <w:noProof/>
                <w:lang w:val="en-IN" w:eastAsia="en-IN" w:bidi="hi-IN"/>
              </w:rPr>
              <w:drawing>
                <wp:inline distT="0" distB="0" distL="0" distR="0" wp14:anchorId="350B16BB" wp14:editId="0573DAA1">
                  <wp:extent cx="2298357" cy="1723768"/>
                  <wp:effectExtent l="0" t="0" r="698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298678" cy="1724009"/>
                          </a:xfrm>
                          <a:prstGeom prst="rect">
                            <a:avLst/>
                          </a:prstGeom>
                        </pic:spPr>
                      </pic:pic>
                    </a:graphicData>
                  </a:graphic>
                </wp:inline>
              </w:drawing>
            </w:r>
          </w:p>
        </w:tc>
      </w:tr>
    </w:tbl>
    <w:p w:rsidR="000676E4" w:rsidRPr="00C24081" w:rsidRDefault="000676E4">
      <w:pPr>
        <w:rPr>
          <w:lang w:val="en-US"/>
        </w:rPr>
      </w:pPr>
    </w:p>
    <w:p w:rsidR="000676E4" w:rsidRPr="00C24081" w:rsidRDefault="000676E4">
      <w:pPr>
        <w:rPr>
          <w:lang w:val="en-US"/>
        </w:rPr>
      </w:pPr>
    </w:p>
    <w:sectPr w:rsidR="000676E4" w:rsidRPr="00C24081" w:rsidSect="000676E4">
      <w:footerReference w:type="default" r:id="rId30"/>
      <w:pgSz w:w="12240" w:h="15840"/>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1A8" w:rsidRDefault="009411A8" w:rsidP="000173F7">
      <w:pPr>
        <w:spacing w:after="0" w:line="240" w:lineRule="auto"/>
      </w:pPr>
      <w:r>
        <w:separator/>
      </w:r>
    </w:p>
  </w:endnote>
  <w:endnote w:type="continuationSeparator" w:id="0">
    <w:p w:rsidR="009411A8" w:rsidRDefault="009411A8" w:rsidP="00017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525259"/>
      <w:docPartObj>
        <w:docPartGallery w:val="Page Numbers (Bottom of Page)"/>
        <w:docPartUnique/>
      </w:docPartObj>
    </w:sdtPr>
    <w:sdtEndPr/>
    <w:sdtContent>
      <w:p w:rsidR="000173F7" w:rsidRDefault="000173F7">
        <w:pPr>
          <w:pStyle w:val="Footer"/>
          <w:jc w:val="center"/>
        </w:pPr>
        <w:r>
          <w:fldChar w:fldCharType="begin"/>
        </w:r>
        <w:r>
          <w:instrText>PAGE   \* MERGEFORMAT</w:instrText>
        </w:r>
        <w:r>
          <w:fldChar w:fldCharType="separate"/>
        </w:r>
        <w:r w:rsidR="00195473" w:rsidRPr="00195473">
          <w:rPr>
            <w:noProof/>
            <w:lang w:val="es-ES"/>
          </w:rPr>
          <w:t>8</w:t>
        </w:r>
        <w:r>
          <w:fldChar w:fldCharType="end"/>
        </w:r>
      </w:p>
    </w:sdtContent>
  </w:sdt>
  <w:p w:rsidR="000173F7" w:rsidRDefault="000173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1A8" w:rsidRDefault="009411A8" w:rsidP="000173F7">
      <w:pPr>
        <w:spacing w:after="0" w:line="240" w:lineRule="auto"/>
      </w:pPr>
      <w:r>
        <w:separator/>
      </w:r>
    </w:p>
  </w:footnote>
  <w:footnote w:type="continuationSeparator" w:id="0">
    <w:p w:rsidR="009411A8" w:rsidRDefault="009411A8" w:rsidP="000173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614D1"/>
    <w:multiLevelType w:val="hybridMultilevel"/>
    <w:tmpl w:val="9D2C4528"/>
    <w:lvl w:ilvl="0" w:tplc="F6025A82">
      <w:numFmt w:val="bullet"/>
      <w:lvlText w:val=""/>
      <w:lvlJc w:val="left"/>
      <w:pPr>
        <w:ind w:left="1080" w:hanging="360"/>
      </w:pPr>
      <w:rPr>
        <w:rFonts w:ascii="Symbol" w:eastAsiaTheme="minorEastAsia" w:hAnsi="Symbol" w:cs="Aria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6E4"/>
    <w:rsid w:val="000173F7"/>
    <w:rsid w:val="000676E4"/>
    <w:rsid w:val="000A467F"/>
    <w:rsid w:val="00101A71"/>
    <w:rsid w:val="00166519"/>
    <w:rsid w:val="00195473"/>
    <w:rsid w:val="001C1596"/>
    <w:rsid w:val="00484412"/>
    <w:rsid w:val="009411A8"/>
    <w:rsid w:val="009B6FDA"/>
    <w:rsid w:val="00A44EB9"/>
    <w:rsid w:val="00C24081"/>
  </w:rsids>
  <m:mathPr>
    <m:mathFont m:val="Cambria Math"/>
    <m:brkBin m:val="before"/>
    <m:brkBinSub m:val="--"/>
    <m:smallFrac m:val="0"/>
    <m:dispDef/>
    <m:lMargin m:val="0"/>
    <m:rMargin m:val="0"/>
    <m:defJc m:val="centerGroup"/>
    <m:wrapIndent m:val="1440"/>
    <m:intLim m:val="subSup"/>
    <m:naryLim m:val="undOvr"/>
  </m:mathPr>
  <w:themeFontLang w:val="es-MX"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BC88AC-1BD5-427C-B195-4B64F60A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7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0676E4"/>
    <w:pPr>
      <w:spacing w:after="0" w:line="240" w:lineRule="auto"/>
      <w:jc w:val="center"/>
    </w:pPr>
    <w:rPr>
      <w:rFonts w:ascii="Tahoma" w:eastAsia="Times New Roman" w:hAnsi="Tahoma" w:cs="Tahoma"/>
      <w:b/>
      <w:bCs/>
      <w:sz w:val="24"/>
      <w:szCs w:val="24"/>
      <w:lang w:val="es-ES" w:eastAsia="es-ES"/>
    </w:rPr>
  </w:style>
  <w:style w:type="character" w:customStyle="1" w:styleId="TitleChar">
    <w:name w:val="Title Char"/>
    <w:basedOn w:val="DefaultParagraphFont"/>
    <w:link w:val="Title"/>
    <w:rsid w:val="000676E4"/>
    <w:rPr>
      <w:rFonts w:ascii="Tahoma" w:eastAsia="Times New Roman" w:hAnsi="Tahoma" w:cs="Tahoma"/>
      <w:b/>
      <w:bCs/>
      <w:sz w:val="24"/>
      <w:szCs w:val="24"/>
      <w:lang w:val="es-ES" w:eastAsia="es-ES"/>
    </w:rPr>
  </w:style>
  <w:style w:type="paragraph" w:styleId="ListParagraph">
    <w:name w:val="List Paragraph"/>
    <w:basedOn w:val="Normal"/>
    <w:uiPriority w:val="34"/>
    <w:qFormat/>
    <w:rsid w:val="00C24081"/>
    <w:pPr>
      <w:spacing w:after="200" w:line="276" w:lineRule="auto"/>
      <w:ind w:left="720"/>
      <w:contextualSpacing/>
    </w:pPr>
    <w:rPr>
      <w:rFonts w:eastAsiaTheme="minorEastAsia"/>
      <w:lang w:eastAsia="es-MX"/>
    </w:rPr>
  </w:style>
  <w:style w:type="paragraph" w:styleId="BalloonText">
    <w:name w:val="Balloon Text"/>
    <w:basedOn w:val="Normal"/>
    <w:link w:val="BalloonTextChar"/>
    <w:uiPriority w:val="99"/>
    <w:semiHidden/>
    <w:unhideWhenUsed/>
    <w:rsid w:val="00101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A71"/>
    <w:rPr>
      <w:rFonts w:ascii="Tahoma" w:hAnsi="Tahoma" w:cs="Tahoma"/>
      <w:sz w:val="16"/>
      <w:szCs w:val="16"/>
    </w:rPr>
  </w:style>
  <w:style w:type="paragraph" w:styleId="Header">
    <w:name w:val="header"/>
    <w:basedOn w:val="Normal"/>
    <w:link w:val="HeaderChar"/>
    <w:uiPriority w:val="99"/>
    <w:unhideWhenUsed/>
    <w:rsid w:val="000173F7"/>
    <w:pPr>
      <w:tabs>
        <w:tab w:val="center" w:pos="4419"/>
        <w:tab w:val="right" w:pos="8838"/>
      </w:tabs>
      <w:spacing w:after="0" w:line="240" w:lineRule="auto"/>
    </w:pPr>
  </w:style>
  <w:style w:type="character" w:customStyle="1" w:styleId="HeaderChar">
    <w:name w:val="Header Char"/>
    <w:basedOn w:val="DefaultParagraphFont"/>
    <w:link w:val="Header"/>
    <w:uiPriority w:val="99"/>
    <w:rsid w:val="000173F7"/>
  </w:style>
  <w:style w:type="paragraph" w:styleId="Footer">
    <w:name w:val="footer"/>
    <w:basedOn w:val="Normal"/>
    <w:link w:val="FooterChar"/>
    <w:uiPriority w:val="99"/>
    <w:unhideWhenUsed/>
    <w:rsid w:val="000173F7"/>
    <w:pPr>
      <w:tabs>
        <w:tab w:val="center" w:pos="4419"/>
        <w:tab w:val="right" w:pos="8838"/>
      </w:tabs>
      <w:spacing w:after="0" w:line="240" w:lineRule="auto"/>
    </w:pPr>
  </w:style>
  <w:style w:type="character" w:customStyle="1" w:styleId="FooterChar">
    <w:name w:val="Footer Char"/>
    <w:basedOn w:val="DefaultParagraphFont"/>
    <w:link w:val="Footer"/>
    <w:uiPriority w:val="99"/>
    <w:rsid w:val="00017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1730</Words>
  <Characters>9867</Characters>
  <Application>Microsoft Office Word</Application>
  <DocSecurity>0</DocSecurity>
  <Lines>82</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Tomas Parral Pineda</dc:creator>
  <cp:keywords/>
  <dc:description/>
  <cp:lastModifiedBy>Satish Kumar</cp:lastModifiedBy>
  <cp:revision>2</cp:revision>
  <dcterms:created xsi:type="dcterms:W3CDTF">2015-10-15T04:12:00Z</dcterms:created>
  <dcterms:modified xsi:type="dcterms:W3CDTF">2015-10-15T04:12:00Z</dcterms:modified>
</cp:coreProperties>
</file>