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CD" w:rsidRDefault="00C86568" w:rsidP="00CA18CD">
      <w:pPr>
        <w:pStyle w:val="BodyText"/>
        <w:tabs>
          <w:tab w:val="left" w:pos="1260"/>
        </w:tabs>
        <w:spacing w:before="0" w:after="120"/>
        <w:jc w:val="center"/>
      </w:pPr>
      <w:r>
        <w:t>INTOSAI W</w:t>
      </w:r>
      <w:r w:rsidR="00CA18CD">
        <w:t xml:space="preserve">orking Group on Financial Modernization and Regulatory Reform </w:t>
      </w:r>
    </w:p>
    <w:p w:rsidR="00CA18CD" w:rsidRDefault="00026965" w:rsidP="00CA18CD">
      <w:pPr>
        <w:pStyle w:val="BodyText"/>
        <w:tabs>
          <w:tab w:val="left" w:pos="1260"/>
        </w:tabs>
        <w:spacing w:before="0" w:after="120"/>
        <w:jc w:val="center"/>
      </w:pPr>
      <w:r>
        <w:t>6</w:t>
      </w:r>
      <w:r w:rsidRPr="00026965">
        <w:rPr>
          <w:vertAlign w:val="superscript"/>
        </w:rPr>
        <w:t>th</w:t>
      </w:r>
      <w:r>
        <w:t xml:space="preserve"> Knowledge Sharing Steering Committee</w:t>
      </w:r>
      <w:r w:rsidR="00CA18CD">
        <w:t xml:space="preserve"> Meeting </w:t>
      </w:r>
    </w:p>
    <w:p w:rsidR="00026965" w:rsidRDefault="00026965" w:rsidP="00CA18CD">
      <w:pPr>
        <w:pStyle w:val="BodyText"/>
        <w:tabs>
          <w:tab w:val="left" w:pos="1260"/>
        </w:tabs>
        <w:spacing w:before="0" w:after="120"/>
        <w:jc w:val="center"/>
      </w:pPr>
      <w:r>
        <w:t>Cairo, Egypt</w:t>
      </w:r>
    </w:p>
    <w:p w:rsidR="00C86568" w:rsidRDefault="00026965" w:rsidP="00CA18CD">
      <w:pPr>
        <w:pStyle w:val="BodyText"/>
        <w:tabs>
          <w:tab w:val="left" w:pos="1260"/>
        </w:tabs>
        <w:spacing w:before="0" w:after="120"/>
        <w:jc w:val="center"/>
      </w:pPr>
      <w:r>
        <w:t>14 &amp; 15 October</w:t>
      </w:r>
      <w:r w:rsidR="00CA18CD">
        <w:t xml:space="preserve"> 2014</w:t>
      </w:r>
    </w:p>
    <w:p w:rsidR="00C86568" w:rsidRDefault="00C86568" w:rsidP="00C86568">
      <w:pPr>
        <w:pStyle w:val="BodyText"/>
        <w:tabs>
          <w:tab w:val="left" w:pos="1260"/>
        </w:tabs>
        <w:spacing w:before="0" w:after="120"/>
      </w:pPr>
    </w:p>
    <w:p w:rsidR="00C86568" w:rsidRDefault="00C86568" w:rsidP="00DB1F64">
      <w:pPr>
        <w:pStyle w:val="BodyText"/>
        <w:tabs>
          <w:tab w:val="left" w:pos="1260"/>
        </w:tabs>
        <w:spacing w:before="0" w:after="240"/>
      </w:pPr>
      <w:r>
        <w:t>Mr. Chairman,</w:t>
      </w:r>
    </w:p>
    <w:p w:rsidR="00C86568" w:rsidRDefault="00C86568" w:rsidP="00DB1F64">
      <w:pPr>
        <w:pStyle w:val="BodyText"/>
        <w:tabs>
          <w:tab w:val="left" w:pos="1260"/>
        </w:tabs>
        <w:spacing w:before="0" w:after="240"/>
      </w:pPr>
      <w:r>
        <w:t xml:space="preserve">Fellow Colleagues, </w:t>
      </w:r>
    </w:p>
    <w:p w:rsidR="00C86568" w:rsidRDefault="00C86568" w:rsidP="00DB1F64">
      <w:pPr>
        <w:pStyle w:val="BodyText"/>
        <w:tabs>
          <w:tab w:val="left" w:pos="1260"/>
        </w:tabs>
        <w:spacing w:before="0" w:after="240"/>
      </w:pPr>
      <w:r>
        <w:t>Ladies and Gentlemen,</w:t>
      </w:r>
    </w:p>
    <w:p w:rsidR="00C86568" w:rsidRDefault="00DB1F64" w:rsidP="00DB1F64">
      <w:pPr>
        <w:pStyle w:val="BodyText"/>
        <w:spacing w:before="0" w:after="240"/>
      </w:pPr>
      <w:r>
        <w:t>At its 63</w:t>
      </w:r>
      <w:r w:rsidRPr="00DB1F64">
        <w:rPr>
          <w:vertAlign w:val="superscript"/>
        </w:rPr>
        <w:t>rd</w:t>
      </w:r>
      <w:r>
        <w:t xml:space="preserve"> meeting in 2012, </w:t>
      </w:r>
      <w:r w:rsidR="00C86568">
        <w:t xml:space="preserve">the INTOSAI Governing Board established the </w:t>
      </w:r>
      <w:r>
        <w:t xml:space="preserve">Working Group on Financial Modernization and Regulatory Reform. </w:t>
      </w:r>
      <w:r w:rsidR="00C86568">
        <w:t xml:space="preserve">The </w:t>
      </w:r>
      <w:r w:rsidR="00FB413F">
        <w:t>W</w:t>
      </w:r>
      <w:r w:rsidR="00C86568">
        <w:t xml:space="preserve">orking </w:t>
      </w:r>
      <w:r w:rsidR="00FB413F">
        <w:t>G</w:t>
      </w:r>
      <w:r w:rsidR="00C86568">
        <w:t xml:space="preserve">roup is a transformation of the Task Force on the Global Financial Crisis (established in the fall of 2008 to examine issues related to the global financial crisis) into a permanent group. In approving the transformation, the Governing Board recognized that the INTOSAI community must continue to </w:t>
      </w:r>
      <w:r w:rsidR="00E4625A">
        <w:t>enhance</w:t>
      </w:r>
      <w:r w:rsidR="00C86568">
        <w:t xml:space="preserve"> its expertise and capabilities to meet the challenges associated with overseeing </w:t>
      </w:r>
      <w:r w:rsidR="00636C8E">
        <w:t xml:space="preserve">national and </w:t>
      </w:r>
      <w:r w:rsidR="00C86568">
        <w:t>global financial system</w:t>
      </w:r>
      <w:r w:rsidR="00636C8E">
        <w:t>s</w:t>
      </w:r>
      <w:r w:rsidR="00C86568">
        <w:t xml:space="preserve">.  </w:t>
      </w:r>
    </w:p>
    <w:p w:rsidR="0084796A" w:rsidRDefault="0084796A" w:rsidP="00DB1F64">
      <w:pPr>
        <w:pStyle w:val="BodyText"/>
        <w:spacing w:before="0" w:after="240"/>
      </w:pPr>
      <w:r>
        <w:t xml:space="preserve">Under its terms of reference, </w:t>
      </w:r>
      <w:r w:rsidR="00FB413F">
        <w:t xml:space="preserve">the Working Group </w:t>
      </w:r>
      <w:r w:rsidR="00C86568">
        <w:t xml:space="preserve">aims to </w:t>
      </w:r>
      <w:r>
        <w:t xml:space="preserve">assist SAIs </w:t>
      </w:r>
      <w:r w:rsidR="00C86568">
        <w:t>in addressing the</w:t>
      </w:r>
      <w:r w:rsidR="00685363">
        <w:t>se</w:t>
      </w:r>
      <w:r w:rsidR="00C86568">
        <w:t xml:space="preserve"> </w:t>
      </w:r>
      <w:r w:rsidR="00685363">
        <w:t xml:space="preserve">challenges </w:t>
      </w:r>
      <w:r w:rsidR="00C86568">
        <w:t xml:space="preserve">by (1) developing tools and knowledge-sharing opportunities for evaluating national reforms, (2) establishing mechanisms for sharing information on the progress of reforms between INTOSAI and international </w:t>
      </w:r>
      <w:r w:rsidR="004254DB">
        <w:t xml:space="preserve">bodies, </w:t>
      </w:r>
      <w:r w:rsidR="00C86568">
        <w:t>and (3) systematically tracking information of reforms at national and international levels.</w:t>
      </w:r>
      <w:r>
        <w:t xml:space="preserve"> </w:t>
      </w:r>
      <w:r w:rsidR="00FB413F">
        <w:t xml:space="preserve">The Working Group </w:t>
      </w:r>
      <w:r>
        <w:t xml:space="preserve">has </w:t>
      </w:r>
      <w:r w:rsidR="00636C8E" w:rsidRPr="00636C8E">
        <w:t>organized its members into three subgroups</w:t>
      </w:r>
      <w:r>
        <w:t xml:space="preserve"> to </w:t>
      </w:r>
      <w:r w:rsidR="004254DB">
        <w:t xml:space="preserve">meet </w:t>
      </w:r>
      <w:r>
        <w:t xml:space="preserve">these objectives, with China, Canada, and </w:t>
      </w:r>
      <w:r w:rsidR="00685363">
        <w:t>the United States chairing the subgroups, respectively.</w:t>
      </w:r>
    </w:p>
    <w:p w:rsidR="00685363" w:rsidRDefault="00FB413F" w:rsidP="00685363">
      <w:pPr>
        <w:pStyle w:val="BodyText"/>
        <w:spacing w:before="0" w:after="240"/>
      </w:pPr>
      <w:r>
        <w:t xml:space="preserve">The Working Group’s </w:t>
      </w:r>
      <w:r w:rsidR="00685363">
        <w:t>25 members</w:t>
      </w:r>
      <w:r>
        <w:t xml:space="preserve"> are </w:t>
      </w:r>
      <w:r w:rsidR="00685363">
        <w:t xml:space="preserve">Austria, Brazil, Canada, Chile, China, Cyprus, Estonia, Finland, France, Hungary, Indonesia, Italy, Republic of Korea, Mexico, Morocco, Netherlands, Poland, Russia, Saudi Arabia, Spain, Sweden, United Kingdom, United States, Venezuela, and the European Court of Auditors. We welcome the participation of interested parties that are not members of the </w:t>
      </w:r>
      <w:r w:rsidR="00DC7382">
        <w:t>W</w:t>
      </w:r>
      <w:r w:rsidR="00685363">
        <w:t xml:space="preserve">orking </w:t>
      </w:r>
      <w:r w:rsidR="00DC7382">
        <w:t>G</w:t>
      </w:r>
      <w:r w:rsidR="00685363">
        <w:t xml:space="preserve">roup and invite all interested SAIs to join </w:t>
      </w:r>
      <w:r>
        <w:t>the Working Group</w:t>
      </w:r>
      <w:r w:rsidR="00685363">
        <w:t>.</w:t>
      </w:r>
    </w:p>
    <w:p w:rsidR="002C140B" w:rsidRDefault="002C140B" w:rsidP="00685363">
      <w:pPr>
        <w:pStyle w:val="BodyText"/>
        <w:spacing w:before="0" w:after="240"/>
      </w:pPr>
      <w:r>
        <w:t xml:space="preserve">My comments today focus on </w:t>
      </w:r>
      <w:r w:rsidR="0076751C">
        <w:t>(</w:t>
      </w:r>
      <w:r>
        <w:t xml:space="preserve">1) the progress </w:t>
      </w:r>
      <w:r w:rsidR="0016525F">
        <w:t xml:space="preserve">made by </w:t>
      </w:r>
      <w:r>
        <w:t xml:space="preserve">the </w:t>
      </w:r>
      <w:r w:rsidR="0016525F">
        <w:t>Wor</w:t>
      </w:r>
      <w:r>
        <w:t xml:space="preserve">king </w:t>
      </w:r>
      <w:r w:rsidR="0016525F">
        <w:t>G</w:t>
      </w:r>
      <w:r>
        <w:t xml:space="preserve">roup to date and </w:t>
      </w:r>
      <w:r w:rsidR="0076751C">
        <w:t>(</w:t>
      </w:r>
      <w:r>
        <w:t xml:space="preserve">2) the status of international financial regulatory reform efforts. Information on the status of reform efforts </w:t>
      </w:r>
      <w:r w:rsidR="0016525F">
        <w:t xml:space="preserve">is </w:t>
      </w:r>
      <w:r>
        <w:t xml:space="preserve">based on </w:t>
      </w:r>
      <w:r w:rsidR="0016525F">
        <w:t xml:space="preserve">the Working Group’s </w:t>
      </w:r>
      <w:r>
        <w:t>audit work and research.</w:t>
      </w:r>
    </w:p>
    <w:p w:rsidR="002C140B" w:rsidRDefault="008B3DBB" w:rsidP="00685363">
      <w:pPr>
        <w:pStyle w:val="BodyText"/>
        <w:spacing w:before="0" w:after="240"/>
        <w:rPr>
          <w:b/>
        </w:rPr>
      </w:pPr>
      <w:r w:rsidRPr="008B3DBB">
        <w:rPr>
          <w:b/>
        </w:rPr>
        <w:t>Working Group’s Progress and Next Steps</w:t>
      </w:r>
    </w:p>
    <w:p w:rsidR="008D3A43" w:rsidRPr="00DC7382" w:rsidRDefault="008D3A43" w:rsidP="00685363">
      <w:pPr>
        <w:pStyle w:val="BodyText"/>
        <w:spacing w:before="0" w:after="240"/>
        <w:rPr>
          <w:u w:val="single"/>
        </w:rPr>
      </w:pPr>
      <w:r w:rsidRPr="00DC7382">
        <w:rPr>
          <w:u w:val="single"/>
        </w:rPr>
        <w:t>Overview of the Working Group’s Progress</w:t>
      </w:r>
    </w:p>
    <w:p w:rsidR="00B0029F" w:rsidRDefault="002E4BAB" w:rsidP="00685363">
      <w:pPr>
        <w:pStyle w:val="BodyText"/>
        <w:spacing w:before="0" w:after="240"/>
      </w:pPr>
      <w:r>
        <w:t xml:space="preserve">Over the past year, the Working Group has </w:t>
      </w:r>
      <w:r w:rsidR="008D3A43">
        <w:t>made</w:t>
      </w:r>
      <w:r>
        <w:t xml:space="preserve"> </w:t>
      </w:r>
      <w:r w:rsidR="005A481A">
        <w:t xml:space="preserve">solid </w:t>
      </w:r>
      <w:r>
        <w:t xml:space="preserve">progress </w:t>
      </w:r>
      <w:r w:rsidR="005A481A">
        <w:t>achieving its objectives. The three subgroups—aligned with the Working Group’s objectives—</w:t>
      </w:r>
      <w:r w:rsidR="005E02C1">
        <w:t xml:space="preserve">held periodic teleconferences </w:t>
      </w:r>
      <w:r w:rsidR="005A481A">
        <w:t xml:space="preserve">throughout the year to </w:t>
      </w:r>
      <w:r w:rsidR="008D3A43">
        <w:t xml:space="preserve">develop and begin to implement </w:t>
      </w:r>
      <w:r w:rsidR="005A481A">
        <w:t>their work plans</w:t>
      </w:r>
      <w:r w:rsidR="005E02C1">
        <w:t xml:space="preserve">. </w:t>
      </w:r>
      <w:r w:rsidR="008D3A43">
        <w:t>For example, subgroup 1 completed and summarized the results of a survey of the Working Group members concerning their financial market audit authority. Subgroup 2 identified</w:t>
      </w:r>
      <w:r w:rsidR="009C5FA2">
        <w:t xml:space="preserve"> relevant </w:t>
      </w:r>
      <w:r w:rsidR="008D3A43">
        <w:t xml:space="preserve">international bodies </w:t>
      </w:r>
      <w:r w:rsidR="009C5FA2">
        <w:t xml:space="preserve">and </w:t>
      </w:r>
      <w:r w:rsidR="008D3A43">
        <w:t xml:space="preserve">established relationships with the International Monetary Fund </w:t>
      </w:r>
      <w:r w:rsidR="00DC7382">
        <w:t xml:space="preserve">(IMF) </w:t>
      </w:r>
      <w:r w:rsidR="008D3A43">
        <w:t>and the Basel Committee on Banking Supervision</w:t>
      </w:r>
      <w:r w:rsidR="002B4A9A">
        <w:t xml:space="preserve"> (Basel Committee)</w:t>
      </w:r>
      <w:r w:rsidR="008D3A43">
        <w:t>. And</w:t>
      </w:r>
      <w:r w:rsidR="00F74EED">
        <w:t xml:space="preserve"> Subgroup 3 </w:t>
      </w:r>
      <w:r w:rsidR="009C5FA2">
        <w:t xml:space="preserve">reviewed and </w:t>
      </w:r>
      <w:r w:rsidR="00F74EED">
        <w:t xml:space="preserve">reported on the </w:t>
      </w:r>
      <w:r w:rsidR="009C5FA2">
        <w:t xml:space="preserve">implementation </w:t>
      </w:r>
      <w:r w:rsidR="00F74EED">
        <w:t xml:space="preserve">progress of key </w:t>
      </w:r>
      <w:r w:rsidR="009C5FA2">
        <w:t xml:space="preserve">international </w:t>
      </w:r>
      <w:r w:rsidR="00F74EED">
        <w:t xml:space="preserve">financial reforms, such as Basel III capital </w:t>
      </w:r>
      <w:r w:rsidR="00DC7382">
        <w:t>standards</w:t>
      </w:r>
      <w:r w:rsidR="00F74EED">
        <w:t>.</w:t>
      </w:r>
      <w:r w:rsidR="008D3A43">
        <w:t xml:space="preserve"> </w:t>
      </w:r>
      <w:r w:rsidR="005E02C1">
        <w:t xml:space="preserve">In addition, </w:t>
      </w:r>
      <w:r w:rsidR="005A481A">
        <w:t>the Working Group held its first in-person meeting</w:t>
      </w:r>
      <w:r w:rsidR="005E02C1">
        <w:t xml:space="preserve"> in late spring, </w:t>
      </w:r>
      <w:r w:rsidR="00B0029F">
        <w:t xml:space="preserve">providing an opportunity for </w:t>
      </w:r>
      <w:r w:rsidR="005E02C1">
        <w:t xml:space="preserve">its members to get to know each other and </w:t>
      </w:r>
      <w:r w:rsidR="00B0029F">
        <w:t>discuss their audit work</w:t>
      </w:r>
      <w:r w:rsidR="005E02C1">
        <w:t>.</w:t>
      </w:r>
      <w:r w:rsidR="00B0029F">
        <w:t xml:space="preserve"> Finally, the Working Group </w:t>
      </w:r>
      <w:r w:rsidR="00B0029F" w:rsidRPr="00B0029F">
        <w:t>continue</w:t>
      </w:r>
      <w:r w:rsidR="00B0029F">
        <w:t>d</w:t>
      </w:r>
      <w:r w:rsidR="00B0029F" w:rsidRPr="00B0029F">
        <w:t xml:space="preserve"> to monitor </w:t>
      </w:r>
      <w:r w:rsidR="00B0029F">
        <w:t>the progress being made to implement the international financial regulatory reforms developed by the Group of Twenty (G20)</w:t>
      </w:r>
      <w:r w:rsidR="00342FDA">
        <w:t xml:space="preserve"> and other international bodies. We present a summary status report below.  </w:t>
      </w:r>
    </w:p>
    <w:p w:rsidR="003C11B0" w:rsidRDefault="00DC7382" w:rsidP="004254DB">
      <w:pPr>
        <w:pStyle w:val="BodyText"/>
        <w:spacing w:before="0" w:after="240"/>
      </w:pPr>
      <w:r>
        <w:t>As noted, i</w:t>
      </w:r>
      <w:r w:rsidR="00804857">
        <w:t xml:space="preserve">n May </w:t>
      </w:r>
      <w:r w:rsidR="00685363">
        <w:t xml:space="preserve">2014, </w:t>
      </w:r>
      <w:r w:rsidR="0076751C">
        <w:t>the Working Group</w:t>
      </w:r>
      <w:r w:rsidR="00685363">
        <w:t xml:space="preserve"> held its first in-person meeting</w:t>
      </w:r>
      <w:r w:rsidR="00804857">
        <w:t xml:space="preserve"> </w:t>
      </w:r>
      <w:r w:rsidR="002C140B">
        <w:t xml:space="preserve">at the Government Accountability Office (GAO) </w:t>
      </w:r>
      <w:r w:rsidR="00804857">
        <w:t>in Washington, D.C., and</w:t>
      </w:r>
      <w:r w:rsidR="00A7743B">
        <w:t xml:space="preserve"> members from 13 SAIs attended. The meeting included (1) discussions of SAI audit work involving financial market and institution oversight, (2) subgroup breakout sessions to discuss progress made and next steps, and (3) presentations on financial regulatory reforms by officials from </w:t>
      </w:r>
      <w:r w:rsidR="002B4A9A">
        <w:t>IMF</w:t>
      </w:r>
      <w:r w:rsidR="00A7743B">
        <w:t xml:space="preserve">, think tanks, and academia. (Minutes of the meeting are available on INTOSAI’s website.) </w:t>
      </w:r>
    </w:p>
    <w:p w:rsidR="002C140B" w:rsidRDefault="002C140B" w:rsidP="004254DB">
      <w:pPr>
        <w:pStyle w:val="BodyText"/>
        <w:spacing w:before="0" w:after="240"/>
      </w:pPr>
      <w:r>
        <w:t xml:space="preserve">The subgroups also </w:t>
      </w:r>
      <w:r w:rsidR="00A97B61">
        <w:t>conducted teleconferences throughout this past year to share information and advance on their objectives. Below summarizes the progress each subgroup has made to date and planned next steps.</w:t>
      </w:r>
    </w:p>
    <w:p w:rsidR="00804857" w:rsidRPr="00DB374C" w:rsidRDefault="008D3A43" w:rsidP="00DB1F64">
      <w:pPr>
        <w:pStyle w:val="BodyText"/>
        <w:spacing w:before="0" w:after="240"/>
        <w:rPr>
          <w:u w:val="single"/>
        </w:rPr>
      </w:pPr>
      <w:r>
        <w:rPr>
          <w:u w:val="single"/>
        </w:rPr>
        <w:t xml:space="preserve">Progress and Next Steps for </w:t>
      </w:r>
      <w:r w:rsidR="00A97B61">
        <w:rPr>
          <w:u w:val="single"/>
        </w:rPr>
        <w:t xml:space="preserve">Subgroup </w:t>
      </w:r>
      <w:r w:rsidR="00DB374C" w:rsidRPr="00DB374C">
        <w:rPr>
          <w:u w:val="single"/>
        </w:rPr>
        <w:t>1: Audit Tools</w:t>
      </w:r>
    </w:p>
    <w:p w:rsidR="000B7283" w:rsidRDefault="000B7283" w:rsidP="00DB1F64">
      <w:pPr>
        <w:pStyle w:val="BodyText"/>
        <w:spacing w:before="0" w:after="240"/>
      </w:pPr>
      <w:r>
        <w:t xml:space="preserve">Under the China SAI’s leadership (National Audit Office), subgroup 1 </w:t>
      </w:r>
      <w:r w:rsidR="00A7743B">
        <w:t>has made progress</w:t>
      </w:r>
      <w:r w:rsidR="00A97B61">
        <w:t xml:space="preserve"> developing tools and knowledge sharing opportunities (objective 1)</w:t>
      </w:r>
      <w:r w:rsidR="00A7743B">
        <w:t>.</w:t>
      </w:r>
      <w:r w:rsidR="003C11B0">
        <w:rPr>
          <w:rStyle w:val="FootnoteReference"/>
        </w:rPr>
        <w:footnoteReference w:id="1"/>
      </w:r>
      <w:r w:rsidR="00A7743B">
        <w:t xml:space="preserve"> It c</w:t>
      </w:r>
      <w:r w:rsidR="00482346">
        <w:t xml:space="preserve">ompleted and summarized </w:t>
      </w:r>
      <w:r w:rsidR="002A4D80">
        <w:t xml:space="preserve">the results of </w:t>
      </w:r>
      <w:r w:rsidR="004254DB">
        <w:t xml:space="preserve">a </w:t>
      </w:r>
      <w:r w:rsidR="00482346">
        <w:t xml:space="preserve">survey of </w:t>
      </w:r>
      <w:r w:rsidR="0076751C">
        <w:t>the Working Group</w:t>
      </w:r>
      <w:r w:rsidR="00482346">
        <w:t xml:space="preserve"> members</w:t>
      </w:r>
      <w:r w:rsidR="004254DB">
        <w:t xml:space="preserve"> concerning their financial market audit authority</w:t>
      </w:r>
      <w:r w:rsidR="003C11B0">
        <w:t>.</w:t>
      </w:r>
      <w:r w:rsidRPr="000B7283">
        <w:t xml:space="preserve"> </w:t>
      </w:r>
      <w:r w:rsidR="00642DCA">
        <w:t>Nineteen SAIs completed t</w:t>
      </w:r>
      <w:r w:rsidR="003C11B0">
        <w:t xml:space="preserve">he survey, and the </w:t>
      </w:r>
      <w:r w:rsidR="004254DB">
        <w:t xml:space="preserve">key </w:t>
      </w:r>
      <w:r w:rsidR="003C11B0">
        <w:t>findings include the following.</w:t>
      </w:r>
    </w:p>
    <w:p w:rsidR="003C11B0" w:rsidRDefault="003C11B0" w:rsidP="003C11B0">
      <w:pPr>
        <w:pStyle w:val="BodyText"/>
        <w:numPr>
          <w:ilvl w:val="0"/>
          <w:numId w:val="52"/>
        </w:numPr>
        <w:spacing w:before="0" w:after="240"/>
      </w:pPr>
      <w:r>
        <w:t xml:space="preserve">All but one of the SAIs </w:t>
      </w:r>
      <w:proofErr w:type="gramStart"/>
      <w:r w:rsidR="004254DB">
        <w:t>ha</w:t>
      </w:r>
      <w:r w:rsidR="00535385">
        <w:t>ve</w:t>
      </w:r>
      <w:proofErr w:type="gramEnd"/>
      <w:r w:rsidR="00535385">
        <w:t xml:space="preserve"> </w:t>
      </w:r>
      <w:r w:rsidR="004254DB">
        <w:t xml:space="preserve">the </w:t>
      </w:r>
      <w:r>
        <w:t xml:space="preserve">authority to conduct financial audits of the finance minister and central bank. In addition, most SAIs </w:t>
      </w:r>
      <w:proofErr w:type="gramStart"/>
      <w:r w:rsidR="004254DB">
        <w:t>ha</w:t>
      </w:r>
      <w:r w:rsidR="00535385">
        <w:t>ve</w:t>
      </w:r>
      <w:proofErr w:type="gramEnd"/>
      <w:r w:rsidR="00535385">
        <w:t xml:space="preserve"> the</w:t>
      </w:r>
      <w:r w:rsidR="004254DB">
        <w:t xml:space="preserve"> </w:t>
      </w:r>
      <w:r>
        <w:t xml:space="preserve">authority to conduct some </w:t>
      </w:r>
      <w:r w:rsidR="00535385">
        <w:t xml:space="preserve">types of </w:t>
      </w:r>
      <w:r>
        <w:t xml:space="preserve">performance audits of the finance minister, central bank, and financial regulators. In contrast, only a few SAIs have the authority to audit financial institutions, in particular when those institutions are part of the state. Finally, most SAIs </w:t>
      </w:r>
      <w:proofErr w:type="gramStart"/>
      <w:r w:rsidR="00535385">
        <w:t>have</w:t>
      </w:r>
      <w:proofErr w:type="gramEnd"/>
      <w:r w:rsidR="00535385">
        <w:t xml:space="preserve"> the </w:t>
      </w:r>
      <w:r>
        <w:t xml:space="preserve">authority to audit institutions responsible for consumer protection. The survey found that some SAIs </w:t>
      </w:r>
      <w:r w:rsidR="00535385">
        <w:t xml:space="preserve">have </w:t>
      </w:r>
      <w:r>
        <w:t>gained additional audit authorities following the crisis.</w:t>
      </w:r>
    </w:p>
    <w:p w:rsidR="003C11B0" w:rsidRDefault="003C11B0" w:rsidP="003C11B0">
      <w:pPr>
        <w:pStyle w:val="BodyText"/>
        <w:numPr>
          <w:ilvl w:val="0"/>
          <w:numId w:val="52"/>
        </w:numPr>
        <w:spacing w:before="0" w:after="240"/>
      </w:pPr>
      <w:r>
        <w:t xml:space="preserve">Seven SAIs </w:t>
      </w:r>
      <w:r w:rsidR="00535385">
        <w:t xml:space="preserve">have </w:t>
      </w:r>
      <w:r>
        <w:t xml:space="preserve">conducted audits of the processes and effectiveness of financial regulatory reforms. In addition, other SAIs </w:t>
      </w:r>
      <w:proofErr w:type="gramStart"/>
      <w:r w:rsidR="00535385">
        <w:t>have</w:t>
      </w:r>
      <w:proofErr w:type="gramEnd"/>
      <w:r w:rsidR="00535385">
        <w:t xml:space="preserve"> </w:t>
      </w:r>
      <w:r>
        <w:t>conducted performance audits of regulators that include</w:t>
      </w:r>
      <w:r w:rsidR="00535385">
        <w:t>d</w:t>
      </w:r>
      <w:r>
        <w:t xml:space="preserve"> some aspects of regulators</w:t>
      </w:r>
      <w:r w:rsidR="00535385">
        <w:t>’</w:t>
      </w:r>
      <w:r>
        <w:t xml:space="preserve"> oversight of financial system regulation and reform.</w:t>
      </w:r>
    </w:p>
    <w:p w:rsidR="003C11B0" w:rsidRDefault="003C11B0" w:rsidP="003C11B0">
      <w:pPr>
        <w:pStyle w:val="BodyText"/>
        <w:numPr>
          <w:ilvl w:val="0"/>
          <w:numId w:val="52"/>
        </w:numPr>
        <w:spacing w:before="0" w:after="240"/>
      </w:pPr>
      <w:r>
        <w:t xml:space="preserve">Four SAIs </w:t>
      </w:r>
      <w:r w:rsidR="00535385">
        <w:t xml:space="preserve">have </w:t>
      </w:r>
      <w:r>
        <w:t xml:space="preserve">conducted audits of financial institutions, and several SAIs </w:t>
      </w:r>
      <w:r w:rsidR="00535385">
        <w:t xml:space="preserve">have </w:t>
      </w:r>
      <w:r>
        <w:t>conducted related work to assess the risks posed by financial markets to public finances.</w:t>
      </w:r>
    </w:p>
    <w:p w:rsidR="003C11B0" w:rsidRDefault="00535385" w:rsidP="003C11B0">
      <w:pPr>
        <w:pStyle w:val="BodyText"/>
        <w:numPr>
          <w:ilvl w:val="0"/>
          <w:numId w:val="52"/>
        </w:numPr>
        <w:spacing w:before="0" w:after="240"/>
      </w:pPr>
      <w:r>
        <w:t>In their survey responses, SAIs identified the following tools that they wanted to help them conduct their audits:</w:t>
      </w:r>
      <w:r w:rsidR="003C11B0">
        <w:t xml:space="preserve"> (a) criteria and methodologies to measure that reforms are effective and appropriate to the problem, (b) methodologies to identify regulatory weaknesses or gaps, (c) best practices from other SAIs</w:t>
      </w:r>
      <w:r>
        <w:t>’</w:t>
      </w:r>
      <w:r w:rsidR="003C11B0">
        <w:t xml:space="preserve"> audit activities, and (d) tools to evaluate the impact of financial reform on financial markets (e.g., impact of nationalization).</w:t>
      </w:r>
    </w:p>
    <w:p w:rsidR="00DB374C" w:rsidRDefault="00A97B61" w:rsidP="00DB1F64">
      <w:pPr>
        <w:pStyle w:val="BodyText"/>
        <w:spacing w:before="0" w:after="240"/>
      </w:pPr>
      <w:r>
        <w:t>Planned n</w:t>
      </w:r>
      <w:r w:rsidR="00722F31">
        <w:t xml:space="preserve">ext steps </w:t>
      </w:r>
      <w:r>
        <w:t xml:space="preserve">for Subgroup 1 </w:t>
      </w:r>
      <w:r w:rsidR="008D3A43">
        <w:t xml:space="preserve">over the coming year </w:t>
      </w:r>
      <w:r w:rsidR="00722F31">
        <w:t>include</w:t>
      </w:r>
    </w:p>
    <w:p w:rsidR="003C11B0" w:rsidRDefault="0076751C" w:rsidP="003C11B0">
      <w:pPr>
        <w:pStyle w:val="BodyText"/>
        <w:numPr>
          <w:ilvl w:val="0"/>
          <w:numId w:val="53"/>
        </w:numPr>
        <w:spacing w:before="0" w:after="240"/>
      </w:pPr>
      <w:r>
        <w:t>f</w:t>
      </w:r>
      <w:r w:rsidR="003C11B0">
        <w:t>inalizing a summary report outlining SAIs’ authorities, experience, methodology, and available guidance for oversight of the financial system;</w:t>
      </w:r>
    </w:p>
    <w:p w:rsidR="001E4FF6" w:rsidRDefault="00A97B61" w:rsidP="003C11B0">
      <w:pPr>
        <w:pStyle w:val="BodyText"/>
        <w:numPr>
          <w:ilvl w:val="0"/>
          <w:numId w:val="53"/>
        </w:numPr>
        <w:spacing w:before="0" w:after="240"/>
      </w:pPr>
      <w:r>
        <w:t>c</w:t>
      </w:r>
      <w:r w:rsidR="003C11B0">
        <w:t xml:space="preserve">ompiling information on the methodologies used by </w:t>
      </w:r>
      <w:r w:rsidR="001E4FF6">
        <w:t xml:space="preserve">the subgroup’s </w:t>
      </w:r>
      <w:r w:rsidR="003C11B0">
        <w:t>SAIs to oversee the financial system</w:t>
      </w:r>
      <w:r w:rsidR="001E4FF6">
        <w:t xml:space="preserve">; and </w:t>
      </w:r>
    </w:p>
    <w:p w:rsidR="001E4FF6" w:rsidRDefault="00A97B61" w:rsidP="003C11B0">
      <w:pPr>
        <w:pStyle w:val="BodyText"/>
        <w:numPr>
          <w:ilvl w:val="0"/>
          <w:numId w:val="53"/>
        </w:numPr>
        <w:spacing w:before="0" w:after="240"/>
      </w:pPr>
      <w:proofErr w:type="gramStart"/>
      <w:r>
        <w:t>s</w:t>
      </w:r>
      <w:r w:rsidR="001E4FF6">
        <w:t>tarting</w:t>
      </w:r>
      <w:proofErr w:type="gramEnd"/>
      <w:r w:rsidR="001E4FF6">
        <w:t xml:space="preserve"> work to identify</w:t>
      </w:r>
      <w:r w:rsidR="003C11B0">
        <w:t xml:space="preserve"> tools and guidance to share among the SAIs. </w:t>
      </w:r>
    </w:p>
    <w:p w:rsidR="00DB374C" w:rsidRPr="00DB374C" w:rsidRDefault="008D3A43" w:rsidP="00DB1F64">
      <w:pPr>
        <w:pStyle w:val="BodyText"/>
        <w:spacing w:before="0" w:after="240"/>
        <w:rPr>
          <w:u w:val="single"/>
        </w:rPr>
      </w:pPr>
      <w:r>
        <w:rPr>
          <w:u w:val="single"/>
        </w:rPr>
        <w:t xml:space="preserve">Progress and Next Steps for </w:t>
      </w:r>
      <w:r w:rsidR="00A97B61">
        <w:rPr>
          <w:u w:val="single"/>
        </w:rPr>
        <w:t xml:space="preserve">Subgroup </w:t>
      </w:r>
      <w:r w:rsidR="00DB374C" w:rsidRPr="00DB374C">
        <w:rPr>
          <w:u w:val="single"/>
        </w:rPr>
        <w:t>2: Networking with International Bodies</w:t>
      </w:r>
    </w:p>
    <w:p w:rsidR="00CC4916" w:rsidRDefault="00722F31" w:rsidP="00DB1F64">
      <w:pPr>
        <w:pStyle w:val="BodyText"/>
        <w:spacing w:before="0" w:after="240"/>
      </w:pPr>
      <w:r>
        <w:t>Under the Canada SAI</w:t>
      </w:r>
      <w:r w:rsidR="008F797B">
        <w:t>’s leadership (Office of the Audit</w:t>
      </w:r>
      <w:r w:rsidR="00875391">
        <w:t>or</w:t>
      </w:r>
      <w:r w:rsidR="008F797B">
        <w:t xml:space="preserve"> General), </w:t>
      </w:r>
      <w:r w:rsidR="000B166D">
        <w:t>subgroup 2 produced a report on the development, implementation, and monitoring of international financial reforms</w:t>
      </w:r>
      <w:r w:rsidR="005501A7">
        <w:t xml:space="preserve">—in part to identify </w:t>
      </w:r>
      <w:r w:rsidR="000B166D">
        <w:t>international bodies</w:t>
      </w:r>
      <w:r w:rsidR="005501A7">
        <w:t xml:space="preserve"> with which to network</w:t>
      </w:r>
      <w:r w:rsidR="00A97B61">
        <w:t xml:space="preserve"> (objective 2)</w:t>
      </w:r>
      <w:r w:rsidR="000B166D">
        <w:t>.</w:t>
      </w:r>
      <w:r w:rsidR="00915C86">
        <w:rPr>
          <w:rStyle w:val="FootnoteReference"/>
        </w:rPr>
        <w:footnoteReference w:id="2"/>
      </w:r>
      <w:r w:rsidR="00E365E8">
        <w:t xml:space="preserve"> </w:t>
      </w:r>
      <w:r w:rsidR="00C41EDF">
        <w:t xml:space="preserve">The report identified </w:t>
      </w:r>
      <w:r w:rsidR="00E365E8">
        <w:t xml:space="preserve">more than 15 international bodies involved in </w:t>
      </w:r>
      <w:r w:rsidR="00535385">
        <w:t xml:space="preserve">financial </w:t>
      </w:r>
      <w:r w:rsidR="00E365E8">
        <w:t xml:space="preserve">reform efforts, </w:t>
      </w:r>
      <w:r w:rsidR="00535385">
        <w:t xml:space="preserve">and </w:t>
      </w:r>
      <w:r w:rsidR="00E365E8">
        <w:t xml:space="preserve">the </w:t>
      </w:r>
      <w:r w:rsidR="005501A7">
        <w:t xml:space="preserve">subgroup </w:t>
      </w:r>
      <w:r w:rsidR="00535385">
        <w:t xml:space="preserve">is seeking </w:t>
      </w:r>
      <w:r w:rsidR="00E365E8">
        <w:t xml:space="preserve">initially </w:t>
      </w:r>
      <w:r w:rsidR="005501A7">
        <w:t xml:space="preserve">to establish relationships with </w:t>
      </w:r>
      <w:r w:rsidR="00535385">
        <w:t xml:space="preserve">the following </w:t>
      </w:r>
      <w:r w:rsidR="005501A7">
        <w:t xml:space="preserve">four </w:t>
      </w:r>
      <w:r w:rsidR="00E365E8">
        <w:t>base</w:t>
      </w:r>
      <w:r w:rsidR="00CC4916">
        <w:t xml:space="preserve">d on their </w:t>
      </w:r>
      <w:r w:rsidR="00535385">
        <w:t xml:space="preserve">significant </w:t>
      </w:r>
      <w:r w:rsidR="00CC4916">
        <w:t>role in the reform</w:t>
      </w:r>
      <w:r w:rsidR="002A4D80">
        <w:t xml:space="preserve"> effort</w:t>
      </w:r>
      <w:r w:rsidR="00CC4916">
        <w:t>s.</w:t>
      </w:r>
    </w:p>
    <w:p w:rsidR="00915C86" w:rsidRDefault="00915C86" w:rsidP="00915C86">
      <w:pPr>
        <w:pStyle w:val="BodyText"/>
        <w:numPr>
          <w:ilvl w:val="0"/>
          <w:numId w:val="33"/>
        </w:numPr>
        <w:spacing w:before="0" w:after="240"/>
      </w:pPr>
      <w:r w:rsidRPr="000537E5">
        <w:rPr>
          <w:i/>
        </w:rPr>
        <w:t xml:space="preserve">The Financial Stability Board (FSB) </w:t>
      </w:r>
      <w:r>
        <w:t xml:space="preserve">was established by the </w:t>
      </w:r>
      <w:r w:rsidRPr="00CC4916">
        <w:t>G20 in 2009 to coordinate at the international level the work of national financial authorities and international standard-setting bodies in order to develop and promote the implementation of effective regulatory, supervisory, and other financial sector policies.</w:t>
      </w:r>
      <w:r>
        <w:t xml:space="preserve"> </w:t>
      </w:r>
      <w:r w:rsidRPr="00915C86">
        <w:t>FSB has instituted a framework for monitoring implementation of the G20 financial reforms and reports periodically to the G20 about standards development and implementation progress.</w:t>
      </w:r>
    </w:p>
    <w:p w:rsidR="00915C86" w:rsidRDefault="00CC4916" w:rsidP="00915C86">
      <w:pPr>
        <w:pStyle w:val="BodyText"/>
        <w:numPr>
          <w:ilvl w:val="0"/>
          <w:numId w:val="33"/>
        </w:numPr>
        <w:spacing w:before="0" w:after="240"/>
      </w:pPr>
      <w:r w:rsidRPr="000537E5">
        <w:rPr>
          <w:i/>
        </w:rPr>
        <w:t>T</w:t>
      </w:r>
      <w:r w:rsidR="005501A7" w:rsidRPr="000537E5">
        <w:rPr>
          <w:i/>
        </w:rPr>
        <w:t xml:space="preserve">he </w:t>
      </w:r>
      <w:r w:rsidR="00E365E8" w:rsidRPr="000537E5">
        <w:rPr>
          <w:i/>
        </w:rPr>
        <w:t>Basel Committee</w:t>
      </w:r>
      <w:r>
        <w:t xml:space="preserve"> </w:t>
      </w:r>
      <w:r w:rsidRPr="00CC4916">
        <w:t xml:space="preserve">is the primary global standard-setter for the prudential regulation of banks and </w:t>
      </w:r>
      <w:r>
        <w:t>in 2010</w:t>
      </w:r>
      <w:r w:rsidR="00875391">
        <w:t xml:space="preserve"> issued</w:t>
      </w:r>
      <w:r>
        <w:t xml:space="preserve"> Basel III—a comprehensive set of reform measures to strengthen the regulation, supervision, and risk management of the banking sector.</w:t>
      </w:r>
      <w:r w:rsidR="00915C86">
        <w:t xml:space="preserve"> </w:t>
      </w:r>
      <w:r w:rsidR="00915C86" w:rsidRPr="00915C86">
        <w:t>The Basel Committee works with FSB, of which it is a member, and other international standard-setting bodies to address financial reform issues within its mandate.</w:t>
      </w:r>
    </w:p>
    <w:p w:rsidR="00915C86" w:rsidRPr="00915C86" w:rsidRDefault="00915C86" w:rsidP="00915C86">
      <w:pPr>
        <w:pStyle w:val="BodyText"/>
        <w:numPr>
          <w:ilvl w:val="0"/>
          <w:numId w:val="33"/>
        </w:numPr>
        <w:spacing w:before="0" w:after="240"/>
      </w:pPr>
      <w:r w:rsidRPr="000537E5">
        <w:rPr>
          <w:i/>
        </w:rPr>
        <w:t>IMF</w:t>
      </w:r>
      <w:r>
        <w:t xml:space="preserve"> </w:t>
      </w:r>
      <w:r>
        <w:rPr>
          <w:szCs w:val="22"/>
        </w:rPr>
        <w:t>is an organization of 188 member jurisdictions.</w:t>
      </w:r>
      <w:r>
        <w:t xml:space="preserve"> </w:t>
      </w:r>
      <w:r w:rsidRPr="00915C86">
        <w:rPr>
          <w:szCs w:val="22"/>
        </w:rPr>
        <w:t xml:space="preserve">IMF conducts </w:t>
      </w:r>
      <w:r w:rsidR="00535385">
        <w:rPr>
          <w:szCs w:val="22"/>
        </w:rPr>
        <w:t xml:space="preserve">not only </w:t>
      </w:r>
      <w:r w:rsidRPr="00915C86">
        <w:rPr>
          <w:szCs w:val="22"/>
        </w:rPr>
        <w:t xml:space="preserve">surveillance of its members’ financial sectors at the bilateral and multilateral levels </w:t>
      </w:r>
      <w:r w:rsidR="00535385">
        <w:rPr>
          <w:szCs w:val="22"/>
        </w:rPr>
        <w:t xml:space="preserve">but also </w:t>
      </w:r>
      <w:r w:rsidRPr="00915C86">
        <w:rPr>
          <w:szCs w:val="22"/>
        </w:rPr>
        <w:t xml:space="preserve">research and analysis of macroeconomic and financial issues. </w:t>
      </w:r>
      <w:r>
        <w:t>T</w:t>
      </w:r>
      <w:r w:rsidRPr="00915C86">
        <w:rPr>
          <w:szCs w:val="22"/>
        </w:rPr>
        <w:t>he G20 has tasked IMF and FSB with the responsibility for conducting early warning exercises to assess risks to global financial stability.</w:t>
      </w:r>
    </w:p>
    <w:p w:rsidR="00915C86" w:rsidRDefault="00CC4916" w:rsidP="00CC4916">
      <w:pPr>
        <w:pStyle w:val="BodyText"/>
        <w:numPr>
          <w:ilvl w:val="0"/>
          <w:numId w:val="33"/>
        </w:numPr>
        <w:spacing w:before="0" w:after="240"/>
      </w:pPr>
      <w:r w:rsidRPr="000537E5">
        <w:rPr>
          <w:i/>
        </w:rPr>
        <w:t xml:space="preserve">The </w:t>
      </w:r>
      <w:r w:rsidR="005501A7" w:rsidRPr="000537E5">
        <w:rPr>
          <w:i/>
        </w:rPr>
        <w:t>International Organization of Securities Commissions (IOSCO)</w:t>
      </w:r>
      <w:r w:rsidR="00915C86" w:rsidRPr="000537E5">
        <w:rPr>
          <w:i/>
        </w:rPr>
        <w:t xml:space="preserve"> </w:t>
      </w:r>
      <w:r w:rsidR="00915C86" w:rsidRPr="00915C86">
        <w:t xml:space="preserve">sets global standards for the securities sector to protect investors, ensure efficient markets, and address systemic risks. Its members include more than 120 securities regulators. </w:t>
      </w:r>
      <w:r w:rsidR="00915C86">
        <w:t xml:space="preserve">IOSCO also </w:t>
      </w:r>
      <w:r w:rsidR="00915C86" w:rsidRPr="00915C86">
        <w:t>works with the G20 and FSB to develop standards and guidance to implement the global regulatory reforms that apply to securities markets and institutions</w:t>
      </w:r>
    </w:p>
    <w:p w:rsidR="007F4120" w:rsidRDefault="008D5389" w:rsidP="00DB1F64">
      <w:pPr>
        <w:pStyle w:val="BodyText"/>
        <w:spacing w:before="0" w:after="240"/>
      </w:pPr>
      <w:r>
        <w:t>To date, t</w:t>
      </w:r>
      <w:r w:rsidR="00C41EDF">
        <w:t xml:space="preserve">he subgroup has </w:t>
      </w:r>
      <w:r w:rsidR="002A4D80">
        <w:t xml:space="preserve">contacted </w:t>
      </w:r>
      <w:r w:rsidR="00C41EDF">
        <w:t xml:space="preserve">representatives </w:t>
      </w:r>
      <w:r w:rsidR="002A4D80">
        <w:t xml:space="preserve">from </w:t>
      </w:r>
      <w:r w:rsidR="00C41EDF">
        <w:t>FSB, the Basel Committee, IMF, and IOSCO</w:t>
      </w:r>
      <w:r>
        <w:t xml:space="preserve"> to </w:t>
      </w:r>
      <w:r w:rsidR="00F374D2">
        <w:t xml:space="preserve">discuss </w:t>
      </w:r>
      <w:r>
        <w:t xml:space="preserve">their interest </w:t>
      </w:r>
      <w:r w:rsidRPr="007F0C59">
        <w:t xml:space="preserve">in </w:t>
      </w:r>
      <w:r w:rsidR="001B04BA" w:rsidRPr="007F0C59">
        <w:t>establishing a regular, ongoing dialogue</w:t>
      </w:r>
      <w:r w:rsidRPr="007F0C59">
        <w:t xml:space="preserve"> with </w:t>
      </w:r>
      <w:r w:rsidR="0076751C" w:rsidRPr="007F0C59">
        <w:t>the W</w:t>
      </w:r>
      <w:r w:rsidR="0076751C">
        <w:t xml:space="preserve">orking Group </w:t>
      </w:r>
      <w:r>
        <w:t xml:space="preserve">to exchange knowledge and share information. </w:t>
      </w:r>
      <w:r w:rsidRPr="00535385">
        <w:t xml:space="preserve">In </w:t>
      </w:r>
      <w:r w:rsidR="00A86433" w:rsidRPr="00535385">
        <w:t>November</w:t>
      </w:r>
      <w:r w:rsidRPr="00535385">
        <w:t xml:space="preserve"> 201</w:t>
      </w:r>
      <w:r w:rsidR="006C3C75" w:rsidRPr="00535385">
        <w:t>3</w:t>
      </w:r>
      <w:r w:rsidRPr="00535385">
        <w:t xml:space="preserve">, </w:t>
      </w:r>
      <w:r w:rsidR="00C41EDF" w:rsidRPr="00535385">
        <w:t xml:space="preserve">GAO’s Comptroller General </w:t>
      </w:r>
      <w:r w:rsidRPr="00535385">
        <w:t xml:space="preserve">met with </w:t>
      </w:r>
      <w:r w:rsidR="00DC7382">
        <w:t xml:space="preserve">IMF </w:t>
      </w:r>
      <w:r w:rsidR="00A86433" w:rsidRPr="00535385">
        <w:t xml:space="preserve">Deputy Managing Director Min Zhu, and </w:t>
      </w:r>
      <w:r w:rsidRPr="00535385">
        <w:t>secur</w:t>
      </w:r>
      <w:r w:rsidR="00A86433" w:rsidRPr="00535385">
        <w:t>ed</w:t>
      </w:r>
      <w:r w:rsidRPr="00535385">
        <w:t xml:space="preserve"> his support to establish an IMF-</w:t>
      </w:r>
      <w:r w:rsidR="0076751C">
        <w:t>Working Group</w:t>
      </w:r>
      <w:r w:rsidRPr="00535385">
        <w:t xml:space="preserve"> partnership and </w:t>
      </w:r>
      <w:r w:rsidR="00535385" w:rsidRPr="00535385">
        <w:t xml:space="preserve">establish </w:t>
      </w:r>
      <w:r w:rsidRPr="00535385">
        <w:t xml:space="preserve">a point-of-contact. </w:t>
      </w:r>
      <w:r w:rsidR="007F4120">
        <w:t xml:space="preserve">In September 2014, GAO’s Comptroller </w:t>
      </w:r>
      <w:r w:rsidR="00E976F6">
        <w:t xml:space="preserve">General </w:t>
      </w:r>
      <w:r w:rsidR="007F4120">
        <w:t xml:space="preserve">met with Mr. </w:t>
      </w:r>
      <w:hyperlink r:id="rId8" w:history="1">
        <w:r w:rsidR="007F4120" w:rsidRPr="00CC0B4E">
          <w:rPr>
            <w:rStyle w:val="Hyperlink"/>
            <w:color w:val="auto"/>
          </w:rPr>
          <w:t xml:space="preserve">William </w:t>
        </w:r>
        <w:proofErr w:type="spellStart"/>
        <w:r w:rsidR="007F4120" w:rsidRPr="00CC0B4E">
          <w:rPr>
            <w:rStyle w:val="Hyperlink"/>
            <w:color w:val="auto"/>
          </w:rPr>
          <w:t>Coen</w:t>
        </w:r>
        <w:proofErr w:type="spellEnd"/>
      </w:hyperlink>
      <w:r w:rsidR="007F4120">
        <w:t xml:space="preserve">, Secretary General of the Basel Committee, who expressed his willingness to meet periodically with the </w:t>
      </w:r>
      <w:r w:rsidR="00E976F6">
        <w:t>W</w:t>
      </w:r>
      <w:r w:rsidR="007F4120">
        <w:t xml:space="preserve">orking </w:t>
      </w:r>
      <w:r w:rsidR="00E976F6">
        <w:t>G</w:t>
      </w:r>
      <w:r w:rsidR="007F4120">
        <w:t xml:space="preserve">roup and </w:t>
      </w:r>
      <w:r w:rsidR="00E976F6">
        <w:t xml:space="preserve">expressed </w:t>
      </w:r>
      <w:r w:rsidR="007F4120">
        <w:t xml:space="preserve">interest in SAIs’ audit work related to </w:t>
      </w:r>
      <w:r w:rsidR="00E976F6">
        <w:t>recent financial regulatory reforms</w:t>
      </w:r>
      <w:r w:rsidR="007F4120">
        <w:t>.</w:t>
      </w:r>
    </w:p>
    <w:p w:rsidR="000B166D" w:rsidRDefault="00A97B61" w:rsidP="00EE0EB6">
      <w:pPr>
        <w:pStyle w:val="BodyText"/>
        <w:spacing w:before="0" w:after="240"/>
      </w:pPr>
      <w:r>
        <w:t xml:space="preserve">Planned next steps for </w:t>
      </w:r>
      <w:r w:rsidR="00875391">
        <w:t>s</w:t>
      </w:r>
      <w:r>
        <w:t>ubgroup 2 include</w:t>
      </w:r>
      <w:r w:rsidR="00EE0EB6">
        <w:t xml:space="preserve"> </w:t>
      </w:r>
      <w:r w:rsidR="008D5389">
        <w:t xml:space="preserve">scheduling </w:t>
      </w:r>
      <w:r w:rsidR="00F374D2">
        <w:t>meetings</w:t>
      </w:r>
      <w:r w:rsidR="008D5389">
        <w:t xml:space="preserve"> with FSB</w:t>
      </w:r>
      <w:r w:rsidR="007F4120">
        <w:t xml:space="preserve"> </w:t>
      </w:r>
      <w:r w:rsidR="00816216">
        <w:t>and IOSCO</w:t>
      </w:r>
      <w:r w:rsidR="000B2A97">
        <w:t xml:space="preserve"> by the end of 2014</w:t>
      </w:r>
      <w:r w:rsidR="00816216">
        <w:t>.</w:t>
      </w:r>
      <w:r w:rsidR="008D5389">
        <w:t xml:space="preserve"> At these initial meetings, the subgroup will </w:t>
      </w:r>
      <w:r w:rsidR="00816216">
        <w:t xml:space="preserve">inform the international bodies about INTOSAI, generally, and </w:t>
      </w:r>
      <w:r w:rsidR="0076751C">
        <w:t>the Working Group</w:t>
      </w:r>
      <w:r w:rsidR="00816216">
        <w:t>, specifically.</w:t>
      </w:r>
    </w:p>
    <w:p w:rsidR="00DB374C" w:rsidRPr="00DB374C" w:rsidRDefault="008D3A43" w:rsidP="00DB1F64">
      <w:pPr>
        <w:pStyle w:val="BodyText"/>
        <w:spacing w:before="0" w:after="240"/>
        <w:rPr>
          <w:u w:val="single"/>
        </w:rPr>
      </w:pPr>
      <w:r>
        <w:rPr>
          <w:u w:val="single"/>
        </w:rPr>
        <w:t xml:space="preserve">Progress and Next Steps for </w:t>
      </w:r>
      <w:r w:rsidR="00A97B61">
        <w:rPr>
          <w:u w:val="single"/>
        </w:rPr>
        <w:t xml:space="preserve">Subgroup </w:t>
      </w:r>
      <w:r w:rsidR="00DB374C" w:rsidRPr="00DB374C">
        <w:rPr>
          <w:u w:val="single"/>
        </w:rPr>
        <w:t>3: Reform Efforts</w:t>
      </w:r>
    </w:p>
    <w:p w:rsidR="002D3CE3" w:rsidRDefault="005501A7" w:rsidP="00DB1F64">
      <w:pPr>
        <w:pStyle w:val="BodyText"/>
        <w:spacing w:before="0" w:after="240"/>
      </w:pPr>
      <w:r>
        <w:t xml:space="preserve">Under the U.S. SAI’s leadership (GAO), </w:t>
      </w:r>
      <w:r w:rsidR="007C261E">
        <w:t>s</w:t>
      </w:r>
      <w:r w:rsidR="002D3CE3">
        <w:t>ubgroup 3 is responsible for monitoring and report</w:t>
      </w:r>
      <w:r w:rsidR="007C261E">
        <w:t>ing</w:t>
      </w:r>
      <w:r w:rsidR="002D3CE3">
        <w:t xml:space="preserve"> on the </w:t>
      </w:r>
      <w:r w:rsidR="007C261E">
        <w:t xml:space="preserve">financial reform </w:t>
      </w:r>
      <w:r w:rsidR="002D3CE3">
        <w:t>progress at national and international levels</w:t>
      </w:r>
      <w:r w:rsidR="00A97B61">
        <w:t xml:space="preserve"> (objective 3)</w:t>
      </w:r>
      <w:r w:rsidR="007C261E">
        <w:t>.</w:t>
      </w:r>
      <w:r w:rsidR="007C261E">
        <w:rPr>
          <w:rStyle w:val="FootnoteReference"/>
        </w:rPr>
        <w:footnoteReference w:id="3"/>
      </w:r>
      <w:r w:rsidR="007C261E">
        <w:t xml:space="preserve"> </w:t>
      </w:r>
      <w:r w:rsidR="0066372F">
        <w:t xml:space="preserve">To help lay the foundation for this effort, GAO undertook a review of and issued a report on the implementation status of recent international financial reforms across various jurisdictions and challenges that uneven implementation may present. (The report is available at </w:t>
      </w:r>
      <w:hyperlink r:id="rId9" w:history="1">
        <w:r w:rsidR="00EE25BB" w:rsidRPr="009032EF">
          <w:rPr>
            <w:rStyle w:val="Hyperlink"/>
          </w:rPr>
          <w:t>http://www.gao.gov/products/GAO-14-261</w:t>
        </w:r>
      </w:hyperlink>
      <w:r w:rsidR="0066372F">
        <w:t xml:space="preserve">.) </w:t>
      </w:r>
      <w:r w:rsidR="002D3CE3">
        <w:t xml:space="preserve">This work included reviewing </w:t>
      </w:r>
      <w:r w:rsidR="00F04DE1">
        <w:t xml:space="preserve">progress </w:t>
      </w:r>
      <w:r w:rsidR="00455852">
        <w:t xml:space="preserve">reports </w:t>
      </w:r>
      <w:r w:rsidR="00F04DE1">
        <w:t>and other material issued by the G20, FSB, the Basel Committee, IOSCO</w:t>
      </w:r>
      <w:r w:rsidR="002D3CE3">
        <w:t>,</w:t>
      </w:r>
      <w:r w:rsidR="00455852">
        <w:t xml:space="preserve"> and other international bodies</w:t>
      </w:r>
      <w:r w:rsidR="00F04DE1">
        <w:t xml:space="preserve"> to document the </w:t>
      </w:r>
      <w:r w:rsidR="00455852">
        <w:t xml:space="preserve">implementation </w:t>
      </w:r>
      <w:r w:rsidR="00CC4916" w:rsidRPr="00CC4916">
        <w:t xml:space="preserve">status of </w:t>
      </w:r>
      <w:r w:rsidR="00455852">
        <w:t xml:space="preserve">international </w:t>
      </w:r>
      <w:r w:rsidR="00CC4916" w:rsidRPr="00CC4916">
        <w:t>financial reforms</w:t>
      </w:r>
      <w:r w:rsidR="00F04DE1">
        <w:t>.</w:t>
      </w:r>
      <w:r w:rsidR="00455852">
        <w:t xml:space="preserve"> </w:t>
      </w:r>
    </w:p>
    <w:p w:rsidR="00F50EC7" w:rsidRDefault="00F50EC7" w:rsidP="00DB1F64">
      <w:pPr>
        <w:pStyle w:val="BodyText"/>
        <w:spacing w:before="0" w:after="240"/>
      </w:pPr>
      <w:r>
        <w:t xml:space="preserve">In sum, </w:t>
      </w:r>
      <w:r w:rsidRPr="00F50EC7">
        <w:t xml:space="preserve">the G20 </w:t>
      </w:r>
      <w:r>
        <w:t xml:space="preserve">has </w:t>
      </w:r>
      <w:r w:rsidRPr="00F50EC7">
        <w:t xml:space="preserve">positioned itself as the main international forum for reforming financial regulations. </w:t>
      </w:r>
      <w:r>
        <w:t xml:space="preserve">Since 2008, the </w:t>
      </w:r>
      <w:r w:rsidRPr="00F50EC7">
        <w:t xml:space="preserve">G20 leaders </w:t>
      </w:r>
      <w:r>
        <w:t xml:space="preserve">(presidents and heads of state) have </w:t>
      </w:r>
      <w:r w:rsidR="00346E4C">
        <w:t xml:space="preserve">met at least annually and </w:t>
      </w:r>
      <w:r w:rsidRPr="00F50EC7">
        <w:t>committed to implement a broad range of reforms designed to strengthen financial markets and regulatory regimes</w:t>
      </w:r>
      <w:r>
        <w:t xml:space="preserve"> in</w:t>
      </w:r>
      <w:r w:rsidR="00346E4C">
        <w:t xml:space="preserve"> order to help prevent future financial crises</w:t>
      </w:r>
      <w:r w:rsidRPr="00F50EC7">
        <w:t>.</w:t>
      </w:r>
      <w:r w:rsidR="00346E4C">
        <w:t xml:space="preserve"> </w:t>
      </w:r>
      <w:r w:rsidRPr="00F50EC7">
        <w:t xml:space="preserve">They have tasked their finance ministers and international bodies with implementing the </w:t>
      </w:r>
      <w:r w:rsidR="00346E4C">
        <w:t xml:space="preserve">reforms. </w:t>
      </w:r>
      <w:r w:rsidRPr="00F50EC7">
        <w:t>The key areas covered by the G20 reform</w:t>
      </w:r>
      <w:r w:rsidR="00346E4C">
        <w:t>s</w:t>
      </w:r>
      <w:r w:rsidRPr="00F50EC7">
        <w:t xml:space="preserve"> include banking, </w:t>
      </w:r>
      <w:r w:rsidR="003C334A">
        <w:t>over-the-counter (</w:t>
      </w:r>
      <w:r w:rsidRPr="00F50EC7">
        <w:t>OTC</w:t>
      </w:r>
      <w:r w:rsidR="003C334A">
        <w:t>)</w:t>
      </w:r>
      <w:r w:rsidRPr="00F50EC7">
        <w:t xml:space="preserve"> derivatives, compensation practices, supervision of systemically important financial institutions (SIFI), shadow banking, hedge funds, securitizations, </w:t>
      </w:r>
      <w:proofErr w:type="spellStart"/>
      <w:r w:rsidRPr="00F50EC7">
        <w:t>macroprudential</w:t>
      </w:r>
      <w:proofErr w:type="spellEnd"/>
      <w:r w:rsidRPr="00F50EC7">
        <w:t xml:space="preserve"> frameworks and tools, credit rating agencies, accounting standards, and consumer protection.</w:t>
      </w:r>
    </w:p>
    <w:p w:rsidR="003129E5" w:rsidRDefault="00A97B61" w:rsidP="003129E5">
      <w:pPr>
        <w:pStyle w:val="BodyText"/>
        <w:spacing w:before="0" w:after="240"/>
      </w:pPr>
      <w:r>
        <w:t xml:space="preserve">Planned next steps for </w:t>
      </w:r>
      <w:r w:rsidR="00875391">
        <w:t>s</w:t>
      </w:r>
      <w:r w:rsidR="003129E5">
        <w:t xml:space="preserve">ubgroup 3 </w:t>
      </w:r>
      <w:r w:rsidR="000B2A97">
        <w:t xml:space="preserve">over the coming year </w:t>
      </w:r>
      <w:r w:rsidR="003129E5">
        <w:t>include</w:t>
      </w:r>
    </w:p>
    <w:p w:rsidR="003129E5" w:rsidRDefault="003129E5" w:rsidP="003129E5">
      <w:pPr>
        <w:pStyle w:val="BodyText"/>
        <w:numPr>
          <w:ilvl w:val="0"/>
          <w:numId w:val="54"/>
        </w:numPr>
        <w:spacing w:before="0" w:after="240"/>
      </w:pPr>
      <w:r>
        <w:t>Developing a standardized approach for reviewing, summarizing, and analyzing progress and other reports issued by FSB, the Basel Committee, and others on the implementation of the G20 financial reforms at the international and national levels;</w:t>
      </w:r>
    </w:p>
    <w:p w:rsidR="003129E5" w:rsidRDefault="003129E5" w:rsidP="003129E5">
      <w:pPr>
        <w:pStyle w:val="BodyText"/>
        <w:numPr>
          <w:ilvl w:val="0"/>
          <w:numId w:val="54"/>
        </w:numPr>
        <w:spacing w:before="0" w:after="240"/>
      </w:pPr>
      <w:r>
        <w:t>Working to develop criteria related to financial stability and emerging risks</w:t>
      </w:r>
      <w:r w:rsidR="00F74EED">
        <w:t xml:space="preserve">, as well as </w:t>
      </w:r>
      <w:proofErr w:type="spellStart"/>
      <w:r w:rsidR="00F74EED" w:rsidRPr="00F74EED">
        <w:t>macroprudential</w:t>
      </w:r>
      <w:proofErr w:type="spellEnd"/>
      <w:r w:rsidR="00F74EED" w:rsidRPr="00F74EED">
        <w:t xml:space="preserve"> framework</w:t>
      </w:r>
      <w:r w:rsidR="00F74EED">
        <w:t>s,</w:t>
      </w:r>
      <w:r>
        <w:t xml:space="preserve"> that can help SAIs target their audits in these areas; and </w:t>
      </w:r>
    </w:p>
    <w:p w:rsidR="003129E5" w:rsidRDefault="003129E5" w:rsidP="003129E5">
      <w:pPr>
        <w:pStyle w:val="BodyText"/>
        <w:numPr>
          <w:ilvl w:val="0"/>
          <w:numId w:val="54"/>
        </w:numPr>
        <w:spacing w:before="0" w:after="240"/>
      </w:pPr>
      <w:r>
        <w:t xml:space="preserve">Exploring whether GAO can create an intranet site to post documents and share material with the subgroup members. </w:t>
      </w:r>
    </w:p>
    <w:p w:rsidR="004C3F7A" w:rsidRDefault="004C3F7A">
      <w:pPr>
        <w:pStyle w:val="BodyText"/>
        <w:spacing w:before="0" w:after="240"/>
        <w:rPr>
          <w:b/>
        </w:rPr>
      </w:pPr>
    </w:p>
    <w:p w:rsidR="00CA2EC1" w:rsidRDefault="00CA2EC1">
      <w:pPr>
        <w:pStyle w:val="BodyText"/>
        <w:spacing w:before="0" w:after="240"/>
        <w:rPr>
          <w:b/>
        </w:rPr>
      </w:pPr>
    </w:p>
    <w:p w:rsidR="00CA2EC1" w:rsidRDefault="00CA2EC1">
      <w:pPr>
        <w:pStyle w:val="BodyText"/>
        <w:spacing w:before="0" w:after="240"/>
        <w:rPr>
          <w:b/>
        </w:rPr>
      </w:pPr>
    </w:p>
    <w:p w:rsidR="007C261E" w:rsidRPr="00A97B61" w:rsidRDefault="00A97B61">
      <w:pPr>
        <w:pStyle w:val="BodyText"/>
        <w:spacing w:before="0" w:after="240"/>
        <w:rPr>
          <w:b/>
        </w:rPr>
      </w:pPr>
      <w:r>
        <w:rPr>
          <w:b/>
        </w:rPr>
        <w:t xml:space="preserve">Status of International Financial Regulatory Reform </w:t>
      </w:r>
    </w:p>
    <w:p w:rsidR="001B04BA" w:rsidRDefault="00B0029F" w:rsidP="009C64B2">
      <w:pPr>
        <w:pStyle w:val="BodyText"/>
        <w:spacing w:before="0" w:after="240"/>
      </w:pPr>
      <w:r>
        <w:t xml:space="preserve">SAIs, as </w:t>
      </w:r>
      <w:r w:rsidR="009C64B2">
        <w:t>allowed by their mandates, can play a</w:t>
      </w:r>
      <w:r w:rsidR="00767A23">
        <w:t>n important</w:t>
      </w:r>
      <w:r w:rsidR="009C64B2">
        <w:t xml:space="preserve"> role in helping their governments</w:t>
      </w:r>
      <w:r>
        <w:t>—p</w:t>
      </w:r>
      <w:r w:rsidR="009C64B2">
        <w:t>articularly their financial regulatory agencies</w:t>
      </w:r>
      <w:r>
        <w:t xml:space="preserve">—take </w:t>
      </w:r>
      <w:r w:rsidR="009C64B2">
        <w:t>steps to</w:t>
      </w:r>
      <w:r w:rsidR="00F50EC7">
        <w:t xml:space="preserve"> reduce </w:t>
      </w:r>
      <w:r w:rsidR="00EE0EB6">
        <w:t xml:space="preserve">the probability </w:t>
      </w:r>
      <w:r>
        <w:t xml:space="preserve">or magnitude of a </w:t>
      </w:r>
      <w:r w:rsidR="00F50EC7">
        <w:t xml:space="preserve">future financial </w:t>
      </w:r>
      <w:r w:rsidR="009C64B2">
        <w:t>cris</w:t>
      </w:r>
      <w:r>
        <w:t>i</w:t>
      </w:r>
      <w:r w:rsidR="009C64B2">
        <w:t>s. For example, SAIs could evaluate the appropriateness of the regulatory structure overseeing the financial sector and adequacy of the supervision.</w:t>
      </w:r>
      <w:r w:rsidR="00EE0EB6">
        <w:t xml:space="preserve"> </w:t>
      </w:r>
      <w:r w:rsidR="009C64B2">
        <w:t xml:space="preserve">SAIs </w:t>
      </w:r>
      <w:r>
        <w:t xml:space="preserve">also </w:t>
      </w:r>
      <w:r w:rsidR="009C64B2">
        <w:t xml:space="preserve">may </w:t>
      </w:r>
      <w:r>
        <w:t xml:space="preserve">audit the </w:t>
      </w:r>
      <w:r w:rsidR="009C64B2">
        <w:t xml:space="preserve">implementation of the new international financial regulatory standards within their countries. </w:t>
      </w:r>
    </w:p>
    <w:p w:rsidR="001B04BA" w:rsidRPr="007F0C59" w:rsidRDefault="00EE0EB6" w:rsidP="009C64B2">
      <w:pPr>
        <w:pStyle w:val="BodyText"/>
        <w:spacing w:before="0" w:after="240"/>
      </w:pPr>
      <w:r w:rsidRPr="007F0C59">
        <w:t xml:space="preserve">Importantly, </w:t>
      </w:r>
      <w:r w:rsidR="009C64B2" w:rsidRPr="007F0C59">
        <w:t xml:space="preserve">such </w:t>
      </w:r>
      <w:r w:rsidR="001B04BA" w:rsidRPr="007F0C59">
        <w:t xml:space="preserve">independent </w:t>
      </w:r>
      <w:r w:rsidR="009C64B2" w:rsidRPr="007F0C59">
        <w:t xml:space="preserve">efforts may </w:t>
      </w:r>
      <w:r w:rsidR="00767A23" w:rsidRPr="007F0C59">
        <w:t xml:space="preserve">not only </w:t>
      </w:r>
      <w:r w:rsidR="009C64B2" w:rsidRPr="007F0C59">
        <w:t xml:space="preserve">complement </w:t>
      </w:r>
      <w:r w:rsidRPr="007F0C59">
        <w:t xml:space="preserve">the </w:t>
      </w:r>
      <w:r w:rsidR="009C64B2" w:rsidRPr="007F0C59">
        <w:t xml:space="preserve">peer reviews </w:t>
      </w:r>
      <w:r w:rsidRPr="007F0C59">
        <w:t xml:space="preserve">being </w:t>
      </w:r>
      <w:r w:rsidR="009C64B2" w:rsidRPr="007F0C59">
        <w:t xml:space="preserve">undertaken by international bodies </w:t>
      </w:r>
      <w:r w:rsidR="00767A23" w:rsidRPr="007F0C59">
        <w:t xml:space="preserve">to assess the effectiveness of financial reforms but also </w:t>
      </w:r>
      <w:r w:rsidR="009C64B2" w:rsidRPr="007F0C59">
        <w:t xml:space="preserve">help inform the G20 and other international bodies about their </w:t>
      </w:r>
      <w:r w:rsidR="00767A23" w:rsidRPr="007F0C59">
        <w:t>on</w:t>
      </w:r>
      <w:r w:rsidR="009C64B2" w:rsidRPr="007F0C59">
        <w:t xml:space="preserve">going efforts to strengthen the international financial system. </w:t>
      </w:r>
    </w:p>
    <w:p w:rsidR="009C64B2" w:rsidRPr="007F0C59" w:rsidRDefault="00767A23" w:rsidP="009C64B2">
      <w:pPr>
        <w:pStyle w:val="BodyText"/>
        <w:spacing w:before="0" w:after="240"/>
      </w:pPr>
      <w:r w:rsidRPr="007F0C59">
        <w:t xml:space="preserve">Under its terms of reference, </w:t>
      </w:r>
      <w:r w:rsidR="0076751C" w:rsidRPr="007F0C59">
        <w:t xml:space="preserve">the Working Group </w:t>
      </w:r>
      <w:r w:rsidR="009C64B2" w:rsidRPr="007F0C59">
        <w:t xml:space="preserve">will continue to monitor and report on the implementation progress of the G20 financial reforms and analyze peer reviews and other information on the implementation and effectiveness of the reforms. Ideally, </w:t>
      </w:r>
      <w:r w:rsidR="00EE0EB6" w:rsidRPr="007F0C59">
        <w:t xml:space="preserve">this information will be useful to </w:t>
      </w:r>
      <w:r w:rsidR="009C64B2" w:rsidRPr="007F0C59">
        <w:t xml:space="preserve">SAIs </w:t>
      </w:r>
      <w:r w:rsidR="00EE0EB6" w:rsidRPr="007F0C59">
        <w:t xml:space="preserve">in planning </w:t>
      </w:r>
      <w:r w:rsidR="009C64B2" w:rsidRPr="007F0C59">
        <w:t>their audits of financial regulatory agencies and reforms</w:t>
      </w:r>
      <w:r w:rsidR="00395F63" w:rsidRPr="007F0C59">
        <w:t>.</w:t>
      </w:r>
      <w:r w:rsidR="001B04BA" w:rsidRPr="007F0C59">
        <w:t xml:space="preserve"> Our first such effort follows.</w:t>
      </w:r>
    </w:p>
    <w:p w:rsidR="00395F63" w:rsidRPr="007F0C59" w:rsidRDefault="00395F63" w:rsidP="009C64B2">
      <w:pPr>
        <w:pStyle w:val="BodyText"/>
        <w:spacing w:before="0" w:after="240"/>
        <w:rPr>
          <w:u w:val="single"/>
        </w:rPr>
      </w:pPr>
      <w:r w:rsidRPr="007F0C59">
        <w:rPr>
          <w:u w:val="single"/>
        </w:rPr>
        <w:t xml:space="preserve">International Bodies and National Authorities Are Implementing Financial Regulatory Reforms, but Progress Is Mixed </w:t>
      </w:r>
    </w:p>
    <w:p w:rsidR="00931E22" w:rsidRPr="00E31BE5" w:rsidRDefault="00931E22" w:rsidP="009C64B2">
      <w:pPr>
        <w:pStyle w:val="BodyText"/>
        <w:spacing w:before="0" w:after="240"/>
      </w:pPr>
      <w:r w:rsidRPr="007F0C59">
        <w:t xml:space="preserve">FSB, the Basel Committee, and other international bodies have </w:t>
      </w:r>
      <w:r w:rsidR="00F518DB" w:rsidRPr="007F0C59">
        <w:t>surveyed</w:t>
      </w:r>
      <w:r w:rsidRPr="007F0C59">
        <w:t xml:space="preserve"> members on the status of the various reform efforts.</w:t>
      </w:r>
      <w:r w:rsidRPr="00E31BE5">
        <w:t xml:space="preserve"> </w:t>
      </w:r>
    </w:p>
    <w:p w:rsidR="00E02C17" w:rsidRDefault="00F46565" w:rsidP="00395F63">
      <w:pPr>
        <w:pStyle w:val="BodyText"/>
        <w:numPr>
          <w:ilvl w:val="0"/>
          <w:numId w:val="50"/>
        </w:numPr>
        <w:spacing w:before="0" w:after="240"/>
      </w:pPr>
      <w:r w:rsidRPr="00E02C17">
        <w:rPr>
          <w:i/>
        </w:rPr>
        <w:t>Implementation of the Basel III reforms</w:t>
      </w:r>
      <w:r w:rsidR="00346E4C">
        <w:t xml:space="preserve">: </w:t>
      </w:r>
      <w:r w:rsidR="00E02C17">
        <w:t>A</w:t>
      </w:r>
      <w:r w:rsidR="00E02C17" w:rsidRPr="00E02C17">
        <w:t>ll of the Basel Committee members reported that they have adopted or are in the process of adopting the Basel III capital requirements as of March 31, 2014</w:t>
      </w:r>
      <w:r w:rsidR="00E02C17">
        <w:t xml:space="preserve"> (see </w:t>
      </w:r>
      <w:r w:rsidR="00395F63">
        <w:t xml:space="preserve">table 1 in </w:t>
      </w:r>
      <w:r w:rsidR="00E02C17">
        <w:t>app. I)</w:t>
      </w:r>
      <w:r w:rsidR="00E02C17" w:rsidRPr="00E02C17">
        <w:t>. However, progress adopting the other Basel III requirements—the additional loss absorbency requirements for global and domestic systemically important financial institutions, liquidity coverage ratio, and leverage ratio—is less advanced and uneven.</w:t>
      </w:r>
    </w:p>
    <w:p w:rsidR="00E02C17" w:rsidRDefault="006D3FDE" w:rsidP="00395F63">
      <w:pPr>
        <w:pStyle w:val="BodyText"/>
        <w:numPr>
          <w:ilvl w:val="0"/>
          <w:numId w:val="50"/>
        </w:numPr>
        <w:spacing w:before="0" w:after="240"/>
      </w:pPr>
      <w:r w:rsidRPr="00E02C17">
        <w:rPr>
          <w:i/>
        </w:rPr>
        <w:t>Implementation of G20</w:t>
      </w:r>
      <w:r w:rsidR="00E02C17">
        <w:rPr>
          <w:i/>
        </w:rPr>
        <w:t xml:space="preserve"> reforms for </w:t>
      </w:r>
      <w:r w:rsidR="00346E4C" w:rsidRPr="00E02C17">
        <w:rPr>
          <w:i/>
        </w:rPr>
        <w:t xml:space="preserve">OTC </w:t>
      </w:r>
      <w:r w:rsidRPr="00E02C17">
        <w:rPr>
          <w:i/>
        </w:rPr>
        <w:t>derivatives</w:t>
      </w:r>
      <w:r w:rsidR="00346E4C">
        <w:t xml:space="preserve">: </w:t>
      </w:r>
      <w:r w:rsidR="00E02C17">
        <w:t>Al</w:t>
      </w:r>
      <w:r w:rsidR="00E02C17" w:rsidRPr="00E02C17">
        <w:t xml:space="preserve">most all of FSB member jurisdictions reported that they have regulations in effect to implement the trade reporting and capital requirements as of </w:t>
      </w:r>
      <w:r w:rsidR="00A76933">
        <w:t xml:space="preserve">April </w:t>
      </w:r>
      <w:r w:rsidR="00E02C17" w:rsidRPr="00E02C17">
        <w:t>2014</w:t>
      </w:r>
      <w:r w:rsidR="00395F63">
        <w:t xml:space="preserve"> (see table 2 in app. </w:t>
      </w:r>
      <w:r w:rsidR="00E02C17">
        <w:t>I)</w:t>
      </w:r>
      <w:r w:rsidR="00E02C17" w:rsidRPr="00E02C17">
        <w:t xml:space="preserve">. </w:t>
      </w:r>
      <w:proofErr w:type="gramStart"/>
      <w:r w:rsidR="00E02C17" w:rsidRPr="00E02C17">
        <w:t>In</w:t>
      </w:r>
      <w:proofErr w:type="gramEnd"/>
      <w:r w:rsidR="00E02C17" w:rsidRPr="00E02C17">
        <w:t xml:space="preserve"> contrast, progress implementing the central clearing, exchange trading, and margin requirements is much less advanced and uneven across FSB member jurisdictions.</w:t>
      </w:r>
    </w:p>
    <w:p w:rsidR="00E02C17" w:rsidRDefault="00E02C17" w:rsidP="00395F63">
      <w:pPr>
        <w:pStyle w:val="BodyText"/>
        <w:numPr>
          <w:ilvl w:val="0"/>
          <w:numId w:val="50"/>
        </w:numPr>
        <w:spacing w:before="0" w:after="240"/>
      </w:pPr>
      <w:r w:rsidRPr="000812ED">
        <w:rPr>
          <w:i/>
        </w:rPr>
        <w:t>Implementation of the G20 reforms for S</w:t>
      </w:r>
      <w:r w:rsidR="00767A23">
        <w:rPr>
          <w:i/>
        </w:rPr>
        <w:t xml:space="preserve">ystemically Important </w:t>
      </w:r>
      <w:r w:rsidRPr="000812ED">
        <w:rPr>
          <w:i/>
        </w:rPr>
        <w:t>F</w:t>
      </w:r>
      <w:r w:rsidR="00767A23">
        <w:rPr>
          <w:i/>
        </w:rPr>
        <w:t xml:space="preserve">inancial </w:t>
      </w:r>
      <w:r w:rsidRPr="000812ED">
        <w:rPr>
          <w:i/>
        </w:rPr>
        <w:t>I</w:t>
      </w:r>
      <w:r w:rsidR="00767A23">
        <w:rPr>
          <w:i/>
        </w:rPr>
        <w:t>nstitution</w:t>
      </w:r>
      <w:r w:rsidRPr="000812ED">
        <w:rPr>
          <w:i/>
        </w:rPr>
        <w:t>s</w:t>
      </w:r>
      <w:r w:rsidR="00767A23">
        <w:rPr>
          <w:i/>
        </w:rPr>
        <w:t xml:space="preserve"> (SIFI)</w:t>
      </w:r>
      <w:r>
        <w:t xml:space="preserve">: </w:t>
      </w:r>
      <w:r w:rsidR="000812ED">
        <w:t>FSB, in consultation with others, has identified systemically important banks and insurers that will be subject to more str</w:t>
      </w:r>
      <w:r w:rsidR="00395F63">
        <w:t xml:space="preserve">ingent requirements (see app. </w:t>
      </w:r>
      <w:r w:rsidR="000812ED">
        <w:t xml:space="preserve">I). FSB also reported that several jurisdictions have developed new or amended existing resolution regimes in line with a new international standard for resolution </w:t>
      </w:r>
      <w:r w:rsidR="00767A23">
        <w:t xml:space="preserve">of SIFIs </w:t>
      </w:r>
      <w:r w:rsidR="000812ED">
        <w:t xml:space="preserve">(call “Key Attributes”). </w:t>
      </w:r>
    </w:p>
    <w:p w:rsidR="00030BF7" w:rsidRPr="00395F63" w:rsidRDefault="00030BF7" w:rsidP="00F518DB">
      <w:pPr>
        <w:pStyle w:val="BodyText"/>
        <w:numPr>
          <w:ilvl w:val="0"/>
          <w:numId w:val="50"/>
        </w:numPr>
        <w:spacing w:before="0" w:after="240"/>
      </w:pPr>
      <w:r w:rsidRPr="00030BF7">
        <w:rPr>
          <w:i/>
        </w:rPr>
        <w:t>Implementation of other G20 financial regulatory reforms</w:t>
      </w:r>
      <w:r>
        <w:t xml:space="preserve">: Implementation of the other reforms, including shadow banking, hedge funds, credit rating agencies, and accounting, vary </w:t>
      </w:r>
      <w:r w:rsidR="00395F63">
        <w:t>across jurisdictions (see</w:t>
      </w:r>
      <w:r w:rsidR="00703759">
        <w:t xml:space="preserve"> table 3 in</w:t>
      </w:r>
      <w:r w:rsidR="00395F63">
        <w:t xml:space="preserve"> app. I</w:t>
      </w:r>
      <w:r>
        <w:t xml:space="preserve">). </w:t>
      </w:r>
    </w:p>
    <w:p w:rsidR="00307E45" w:rsidRDefault="00307E45" w:rsidP="00395F63">
      <w:pPr>
        <w:pStyle w:val="BodyText"/>
        <w:numPr>
          <w:ilvl w:val="0"/>
          <w:numId w:val="50"/>
        </w:numPr>
        <w:spacing w:before="0" w:after="240"/>
      </w:pPr>
      <w:r>
        <w:rPr>
          <w:i/>
        </w:rPr>
        <w:t>SAIs’ Efforts to Monitor Progress:</w:t>
      </w:r>
      <w:r>
        <w:t xml:space="preserve"> The </w:t>
      </w:r>
      <w:r w:rsidR="0076751C">
        <w:t xml:space="preserve">Working Group </w:t>
      </w:r>
      <w:r>
        <w:t xml:space="preserve">has surveyed its members and learned that at least 10 have conducted audits in the last 5 years that examined aspects of progress their own countries are making in implementing financial regulatory reforms, including </w:t>
      </w:r>
      <w:r w:rsidRPr="00307E45">
        <w:t xml:space="preserve">Austria, Canada, China, France, Hungary, Netherlands, Poland, Spain, United Kingdom, and United States. Of these, 3 reported “very good” progress on regulators’ implementation of reforms; 3 reported “good” progress; and </w:t>
      </w:r>
      <w:r>
        <w:t>2</w:t>
      </w:r>
      <w:r w:rsidRPr="00307E45">
        <w:t xml:space="preserve">, including the United States, reported “fair” progress. </w:t>
      </w:r>
      <w:r>
        <w:t xml:space="preserve">In addition, </w:t>
      </w:r>
      <w:r w:rsidR="00395F63">
        <w:t xml:space="preserve">seven </w:t>
      </w:r>
      <w:r w:rsidRPr="00307E45">
        <w:t xml:space="preserve">SAIs </w:t>
      </w:r>
      <w:r>
        <w:t>reported that</w:t>
      </w:r>
      <w:r w:rsidRPr="00307E45">
        <w:t xml:space="preserve"> they plan to undertake such audit work over the next 3 years.</w:t>
      </w:r>
    </w:p>
    <w:p w:rsidR="00395F63" w:rsidRPr="00395F63" w:rsidRDefault="00395F63" w:rsidP="00395F63">
      <w:pPr>
        <w:pStyle w:val="BodyText"/>
        <w:spacing w:before="0" w:after="240"/>
        <w:rPr>
          <w:u w:val="single"/>
        </w:rPr>
      </w:pPr>
      <w:r w:rsidRPr="00395F63">
        <w:rPr>
          <w:u w:val="single"/>
        </w:rPr>
        <w:t>Peer Reviews, SAI Audits, and Other Assessments Have Highlighted Challenges and Emerging Issues</w:t>
      </w:r>
    </w:p>
    <w:p w:rsidR="00E31BE5" w:rsidRPr="007F0C59" w:rsidRDefault="00931E22" w:rsidP="00E31BE5">
      <w:pPr>
        <w:pStyle w:val="BodyText"/>
        <w:spacing w:before="0" w:after="240"/>
      </w:pPr>
      <w:r w:rsidRPr="007F0C59">
        <w:t xml:space="preserve">A broad range of legal, economic, and political factors can create implementation challenges for jurisdictions. However, the failure to implement the international financial standards consistently across jurisdictions could have a number of negative consequences, such as hindering or weakening the ability of national authorities or international bodies to protect against developments affecting national and international financial stability. In that regard, </w:t>
      </w:r>
      <w:r w:rsidRPr="007F0C59">
        <w:rPr>
          <w:szCs w:val="22"/>
        </w:rPr>
        <w:t xml:space="preserve">FSB’s, IMF’s, and the Basel Committee’s peer reviews may </w:t>
      </w:r>
      <w:r w:rsidR="00DC7382">
        <w:rPr>
          <w:szCs w:val="22"/>
        </w:rPr>
        <w:t>be</w:t>
      </w:r>
      <w:r w:rsidRPr="007F0C59">
        <w:rPr>
          <w:szCs w:val="22"/>
        </w:rPr>
        <w:t xml:space="preserve"> a crucial mechanism for monitoring and encouraging compliance with international financial standards (see app. II). In addition to the peer reviews, </w:t>
      </w:r>
      <w:r w:rsidRPr="007F0C59">
        <w:t xml:space="preserve">other </w:t>
      </w:r>
      <w:r w:rsidR="00846D1B" w:rsidRPr="007F0C59">
        <w:t>monitoring efforts</w:t>
      </w:r>
      <w:r w:rsidRPr="007F0C59">
        <w:t xml:space="preserve"> by international bodies, national authorities, and independent researchers have identified potential risks for financial stability</w:t>
      </w:r>
      <w:r w:rsidR="00AC0F1B" w:rsidRPr="007F0C59">
        <w:t>, as well as ways to measure systemic risks</w:t>
      </w:r>
      <w:r w:rsidRPr="007F0C59">
        <w:t>.</w:t>
      </w:r>
      <w:r w:rsidR="00AC0F1B" w:rsidRPr="007F0C59">
        <w:t xml:space="preserve"> Following are some key findings and efforts of international, national, and independent bodies. </w:t>
      </w:r>
    </w:p>
    <w:p w:rsidR="007C261E" w:rsidRPr="007F0C59" w:rsidRDefault="00931E22" w:rsidP="00E31BE5">
      <w:pPr>
        <w:pStyle w:val="BodyText"/>
        <w:numPr>
          <w:ilvl w:val="0"/>
          <w:numId w:val="57"/>
        </w:numPr>
        <w:spacing w:before="0" w:after="240"/>
      </w:pPr>
      <w:r w:rsidRPr="007F0C59">
        <w:rPr>
          <w:i/>
        </w:rPr>
        <w:t>FSB peer review of “Key Attributes”</w:t>
      </w:r>
      <w:r w:rsidR="00F518DB" w:rsidRPr="007F0C59">
        <w:rPr>
          <w:i/>
        </w:rPr>
        <w:t xml:space="preserve"> of SIFI resolution regimes</w:t>
      </w:r>
      <w:r w:rsidRPr="007F0C59">
        <w:rPr>
          <w:i/>
        </w:rPr>
        <w:t xml:space="preserve">: </w:t>
      </w:r>
      <w:r w:rsidR="00A17035" w:rsidRPr="007F0C59">
        <w:t>Although substantive progress has been made</w:t>
      </w:r>
      <w:r w:rsidR="0041667C" w:rsidRPr="007F0C59">
        <w:t xml:space="preserve"> to improve resolution regimes for addressing SIFI failures</w:t>
      </w:r>
      <w:r w:rsidR="00A17035" w:rsidRPr="007F0C59">
        <w:t>, FSB noted that many home and host jurisdictions of G-SIFIs need to take further legislative measures to implement the Key Attributes fully in substance and scope–in particular, the adoption of powers for cross-border cooperation</w:t>
      </w:r>
      <w:r w:rsidR="00817A26" w:rsidRPr="007F0C59">
        <w:t xml:space="preserve">, powers to </w:t>
      </w:r>
      <w:r w:rsidR="003008AC" w:rsidRPr="007F0C59">
        <w:t xml:space="preserve">convert </w:t>
      </w:r>
      <w:r w:rsidR="00817A26" w:rsidRPr="007F0C59">
        <w:t>bondholders</w:t>
      </w:r>
      <w:r w:rsidR="003008AC" w:rsidRPr="007F0C59">
        <w:t xml:space="preserve"> into </w:t>
      </w:r>
      <w:proofErr w:type="spellStart"/>
      <w:r w:rsidR="003008AC" w:rsidRPr="007F0C59">
        <w:t>equityholders</w:t>
      </w:r>
      <w:proofErr w:type="spellEnd"/>
      <w:r w:rsidR="00A17035" w:rsidRPr="007F0C59">
        <w:t>, and the recognition of foreign resolution actions.</w:t>
      </w:r>
      <w:r w:rsidR="00461C87" w:rsidRPr="007F0C59">
        <w:t xml:space="preserve"> In addition, FSB note</w:t>
      </w:r>
      <w:r w:rsidR="0041667C" w:rsidRPr="007F0C59">
        <w:t xml:space="preserve">d that the IMF-World Bank’s financial sector </w:t>
      </w:r>
      <w:r w:rsidR="00461C87" w:rsidRPr="007F0C59">
        <w:t>assessments indicate that weaknesses continue to exist with respect to some jurisdictions’ authority and oversight of SIFIs.</w:t>
      </w:r>
    </w:p>
    <w:p w:rsidR="00A6210D" w:rsidRPr="007F0C59" w:rsidRDefault="00A6210D" w:rsidP="00931E22">
      <w:pPr>
        <w:pStyle w:val="BodyText"/>
        <w:numPr>
          <w:ilvl w:val="0"/>
          <w:numId w:val="50"/>
        </w:numPr>
        <w:spacing w:before="0" w:after="240"/>
      </w:pPr>
      <w:r w:rsidRPr="007F0C59">
        <w:rPr>
          <w:i/>
        </w:rPr>
        <w:t xml:space="preserve">FSB country peer reviews: </w:t>
      </w:r>
      <w:r w:rsidRPr="007F0C59">
        <w:t xml:space="preserve">Since 2013, FSB has conducted peer reviews of Germany, Indonesia, South Africa, the United Kingdom, and the United States. In these reviews, FSB generally raised, among others, concerns about each country’s </w:t>
      </w:r>
      <w:proofErr w:type="spellStart"/>
      <w:r w:rsidRPr="007F0C59">
        <w:t>macroprudential</w:t>
      </w:r>
      <w:proofErr w:type="spellEnd"/>
      <w:r w:rsidRPr="007F0C59">
        <w:t xml:space="preserve"> framework for monitoring and addressing systemic risk.</w:t>
      </w:r>
    </w:p>
    <w:p w:rsidR="00796AB4" w:rsidRPr="007F0C59" w:rsidRDefault="00931E22" w:rsidP="00F518DB">
      <w:pPr>
        <w:pStyle w:val="BodyText"/>
        <w:numPr>
          <w:ilvl w:val="0"/>
          <w:numId w:val="50"/>
        </w:numPr>
        <w:spacing w:before="0" w:after="240"/>
      </w:pPr>
      <w:r w:rsidRPr="007F0C59">
        <w:rPr>
          <w:i/>
        </w:rPr>
        <w:t xml:space="preserve">Basel Committee assessment of risk-weighted assets: </w:t>
      </w:r>
      <w:r w:rsidR="00402BB2" w:rsidRPr="007F0C59">
        <w:t>In its three assessments on the risk-weighting of assets by banks</w:t>
      </w:r>
      <w:r w:rsidR="00342FDA" w:rsidRPr="007F0C59">
        <w:t xml:space="preserve"> </w:t>
      </w:r>
      <w:r w:rsidR="00294CD6" w:rsidRPr="007F0C59">
        <w:t xml:space="preserve">in Europe, </w:t>
      </w:r>
      <w:r w:rsidR="00DC7382">
        <w:t xml:space="preserve">the </w:t>
      </w:r>
      <w:r w:rsidR="00294CD6" w:rsidRPr="007F0C59">
        <w:t xml:space="preserve">Americas, and Asia, </w:t>
      </w:r>
      <w:r w:rsidR="00402BB2" w:rsidRPr="007F0C59">
        <w:t xml:space="preserve">the Basel Committee found considerable variation in risk weighted assets across </w:t>
      </w:r>
      <w:r w:rsidR="00294CD6" w:rsidRPr="007F0C59">
        <w:t xml:space="preserve">the </w:t>
      </w:r>
      <w:r w:rsidR="00402BB2" w:rsidRPr="007F0C59">
        <w:t>banks. For the upcoming G20 summit in November 2014, the committee is establishing a plan with actionable steps to address the variability and improve consistency and comparability in bank capital ratios.</w:t>
      </w:r>
    </w:p>
    <w:p w:rsidR="00B35CC1" w:rsidRPr="007F0C59" w:rsidRDefault="00B35CC1" w:rsidP="00B35CC1">
      <w:pPr>
        <w:pStyle w:val="BodyText"/>
        <w:numPr>
          <w:ilvl w:val="0"/>
          <w:numId w:val="50"/>
        </w:numPr>
        <w:spacing w:before="0" w:after="240"/>
      </w:pPr>
      <w:r w:rsidRPr="007F0C59">
        <w:rPr>
          <w:i/>
        </w:rPr>
        <w:t xml:space="preserve">SAI audits of impacts of financial reforms: </w:t>
      </w:r>
      <w:r w:rsidRPr="007F0C59">
        <w:t xml:space="preserve">SAIs also have conducted audits focusing on the potential impacts of domestic financial reform efforts. For example, a recent GAO report examined the status and implementation challenges of U.S. financial regulatory reforms and potential remaining risks. Among other findings, the GAO report found that key aspects of new liquidation authorities and other reforms for resolving troubled financial firms have been implemented, with certain institutions having submitted required resolution plans—“living wills”— that would guide their rapid and orderly resolution in a bankruptcy, if needed. However, </w:t>
      </w:r>
      <w:r w:rsidR="00A6210D" w:rsidRPr="007F0C59">
        <w:t xml:space="preserve">GAO reported that </w:t>
      </w:r>
      <w:r w:rsidRPr="007F0C59">
        <w:t xml:space="preserve">market observers noted the effectiveness of these provisions would not be known until the first large failure. </w:t>
      </w:r>
      <w:r w:rsidR="00FB2850" w:rsidRPr="007F0C59">
        <w:t>More recently, f</w:t>
      </w:r>
      <w:r w:rsidRPr="007F0C59">
        <w:t>ederal regulators found that the</w:t>
      </w:r>
      <w:r w:rsidR="00AC0F1B" w:rsidRPr="007F0C59">
        <w:t xml:space="preserve"> most recent living will submissions by the largest U.S. financial holding companies were not credible</w:t>
      </w:r>
      <w:r w:rsidRPr="007F0C59">
        <w:t>.</w:t>
      </w:r>
      <w:r w:rsidR="00FB2850" w:rsidRPr="007F0C59">
        <w:t xml:space="preserve"> </w:t>
      </w:r>
    </w:p>
    <w:p w:rsidR="002E79E1" w:rsidRPr="007F0C59" w:rsidRDefault="00931E22" w:rsidP="00F007ED">
      <w:pPr>
        <w:pStyle w:val="BodyText"/>
        <w:numPr>
          <w:ilvl w:val="0"/>
          <w:numId w:val="50"/>
        </w:numPr>
        <w:spacing w:before="0" w:after="240"/>
      </w:pPr>
      <w:r w:rsidRPr="007F0C59">
        <w:rPr>
          <w:i/>
        </w:rPr>
        <w:t xml:space="preserve">Global risk assessments: </w:t>
      </w:r>
      <w:r w:rsidR="002E79E1" w:rsidRPr="007F0C59">
        <w:t xml:space="preserve">International bodies </w:t>
      </w:r>
      <w:r w:rsidR="0022012C" w:rsidRPr="007F0C59">
        <w:t xml:space="preserve">also </w:t>
      </w:r>
      <w:r w:rsidR="002E79E1" w:rsidRPr="007F0C59">
        <w:t xml:space="preserve">have </w:t>
      </w:r>
      <w:r w:rsidR="001F5B04" w:rsidRPr="007F0C59">
        <w:t xml:space="preserve">identified potential global risks in their periodic risk and threat assessments. For example, IMF’s </w:t>
      </w:r>
      <w:r w:rsidR="001F5B04" w:rsidRPr="007F0C59">
        <w:rPr>
          <w:i/>
        </w:rPr>
        <w:t xml:space="preserve">2014 </w:t>
      </w:r>
      <w:r w:rsidR="001222CB" w:rsidRPr="007F0C59">
        <w:rPr>
          <w:i/>
        </w:rPr>
        <w:t>Spillover</w:t>
      </w:r>
      <w:r w:rsidR="001F5B04" w:rsidRPr="007F0C59">
        <w:rPr>
          <w:i/>
        </w:rPr>
        <w:t xml:space="preserve"> Report</w:t>
      </w:r>
      <w:r w:rsidR="001222CB" w:rsidRPr="007F0C59">
        <w:t xml:space="preserve"> noted that </w:t>
      </w:r>
      <w:r w:rsidR="004139E7" w:rsidRPr="007F0C59">
        <w:t xml:space="preserve">as the advanced economies recover from the recent financial crisis, spillover effects of </w:t>
      </w:r>
      <w:r w:rsidR="001222CB" w:rsidRPr="007F0C59">
        <w:t>the G20</w:t>
      </w:r>
      <w:r w:rsidR="00F007ED" w:rsidRPr="007F0C59">
        <w:t xml:space="preserve"> financial reforms in advanced economies </w:t>
      </w:r>
      <w:r w:rsidR="001222CB" w:rsidRPr="007F0C59">
        <w:t xml:space="preserve">could </w:t>
      </w:r>
      <w:r w:rsidR="004139E7" w:rsidRPr="007F0C59">
        <w:t>emerge</w:t>
      </w:r>
      <w:r w:rsidR="00F007ED" w:rsidRPr="007F0C59">
        <w:t xml:space="preserve">. </w:t>
      </w:r>
      <w:r w:rsidR="008B2090" w:rsidRPr="007F0C59">
        <w:t xml:space="preserve">Specifically, </w:t>
      </w:r>
      <w:r w:rsidR="00F007ED" w:rsidRPr="007F0C59">
        <w:t xml:space="preserve">it </w:t>
      </w:r>
      <w:r w:rsidR="008B2090" w:rsidRPr="007F0C59">
        <w:t xml:space="preserve">soon </w:t>
      </w:r>
      <w:r w:rsidR="00F007ED" w:rsidRPr="007F0C59">
        <w:t xml:space="preserve">will become clearer whether the reforms have led to certain financial activities being excessively penalized; </w:t>
      </w:r>
      <w:r w:rsidR="004139E7" w:rsidRPr="007F0C59">
        <w:t xml:space="preserve">whether </w:t>
      </w:r>
      <w:r w:rsidR="00F007ED" w:rsidRPr="007F0C59">
        <w:t xml:space="preserve">reduced profitability </w:t>
      </w:r>
      <w:r w:rsidR="004139E7" w:rsidRPr="007F0C59">
        <w:t>has affected</w:t>
      </w:r>
      <w:r w:rsidR="00F007ED" w:rsidRPr="007F0C59">
        <w:t xml:space="preserve"> certain types of financing; and </w:t>
      </w:r>
      <w:r w:rsidR="004139E7" w:rsidRPr="007F0C59">
        <w:t xml:space="preserve">whether </w:t>
      </w:r>
      <w:r w:rsidR="00F007ED" w:rsidRPr="007F0C59">
        <w:t xml:space="preserve">new entrants (for example, nonbank financial institutions) </w:t>
      </w:r>
      <w:r w:rsidR="004139E7" w:rsidRPr="007F0C59">
        <w:t xml:space="preserve">are </w:t>
      </w:r>
      <w:r w:rsidR="00F007ED" w:rsidRPr="007F0C59">
        <w:t xml:space="preserve">creating new risks. </w:t>
      </w:r>
      <w:r w:rsidR="007E5923" w:rsidRPr="007F0C59">
        <w:t>In addition, the World Economic Forum</w:t>
      </w:r>
      <w:r w:rsidR="0022012C" w:rsidRPr="007F0C59">
        <w:t>’s</w:t>
      </w:r>
      <w:r w:rsidR="007E5923" w:rsidRPr="007F0C59">
        <w:t xml:space="preserve"> </w:t>
      </w:r>
      <w:r w:rsidR="007E5923" w:rsidRPr="007F0C59">
        <w:rPr>
          <w:i/>
        </w:rPr>
        <w:t>Global Risks 2014</w:t>
      </w:r>
      <w:r w:rsidR="007E5923" w:rsidRPr="007F0C59">
        <w:t xml:space="preserve"> report cited the risk of fiscal crises as the top risk in 2014. The report noted that although emerging markets were able to recover quickly from the recent financial crisis, they remain vulnerable to credit bubbles, which can turn into financial and then fiscal crises. Advanced economies </w:t>
      </w:r>
      <w:r w:rsidR="00F007ED" w:rsidRPr="007F0C59">
        <w:t xml:space="preserve">are maintaining </w:t>
      </w:r>
      <w:r w:rsidR="007E5923" w:rsidRPr="007F0C59">
        <w:t xml:space="preserve">high levels of debt, which the report notes makes them vulnerable </w:t>
      </w:r>
      <w:r w:rsidR="001222CB" w:rsidRPr="007F0C59">
        <w:t>to changes in investor confidence in governments’ ability to repay</w:t>
      </w:r>
      <w:r w:rsidR="004139E7" w:rsidRPr="007F0C59">
        <w:t>.</w:t>
      </w:r>
      <w:r w:rsidR="001222CB" w:rsidRPr="007F0C59">
        <w:t xml:space="preserve"> </w:t>
      </w:r>
    </w:p>
    <w:p w:rsidR="00846D1B" w:rsidRPr="007F0C59" w:rsidRDefault="00846D1B" w:rsidP="00846D1B">
      <w:pPr>
        <w:pStyle w:val="BodyText"/>
        <w:numPr>
          <w:ilvl w:val="0"/>
          <w:numId w:val="50"/>
        </w:numPr>
        <w:spacing w:before="0" w:after="240"/>
      </w:pPr>
      <w:r w:rsidRPr="007F0C59">
        <w:rPr>
          <w:i/>
        </w:rPr>
        <w:t xml:space="preserve">IMF and FSB’s Early Warning Exercises (EWE): </w:t>
      </w:r>
      <w:r w:rsidRPr="007F0C59">
        <w:t>In 2008, the G20 asked IMF and FSB to collaborate on EWEs. EWE does not attempt to predict crises; rather, it seeks to identify vulnerabilities and triggers that could precipitate systemic crises and, in turn, risk-mitigating policies. IMF is tasked with investigating quantitative risks, represented by financial flows within and throughout regions, while FSB investigates regulatory failures that may create major stresses. The key output of EWE is a confidential semi-annual presentation to the IMF’s International Monetary and Financial Committee. IMF and FSB do not produce formal documents for the presentation because of the market-sensitive nature of the content. In a 2013 review of EWE, a think tank opined that EWE suffered from unclear goals, a lack of coordination, geographical separation, insufficient organizational capacity, and ad hoc procedures.</w:t>
      </w:r>
    </w:p>
    <w:p w:rsidR="004A7089" w:rsidRPr="007F0C59" w:rsidRDefault="00931E22" w:rsidP="004A7089">
      <w:pPr>
        <w:pStyle w:val="BodyText"/>
        <w:numPr>
          <w:ilvl w:val="0"/>
          <w:numId w:val="50"/>
        </w:numPr>
        <w:spacing w:before="0" w:after="240"/>
      </w:pPr>
      <w:r w:rsidRPr="007F0C59">
        <w:rPr>
          <w:i/>
        </w:rPr>
        <w:t>Individual government</w:t>
      </w:r>
      <w:r w:rsidR="00A82E70" w:rsidRPr="007F0C59">
        <w:rPr>
          <w:i/>
        </w:rPr>
        <w:t xml:space="preserve"> </w:t>
      </w:r>
      <w:r w:rsidR="00F518DB" w:rsidRPr="007F0C59">
        <w:rPr>
          <w:i/>
        </w:rPr>
        <w:t>authoritie</w:t>
      </w:r>
      <w:r w:rsidRPr="007F0C59">
        <w:rPr>
          <w:i/>
        </w:rPr>
        <w:t xml:space="preserve">s’ financial stability </w:t>
      </w:r>
      <w:r w:rsidR="00A82E70" w:rsidRPr="007F0C59">
        <w:rPr>
          <w:i/>
        </w:rPr>
        <w:t>analyses</w:t>
      </w:r>
      <w:r w:rsidRPr="007F0C59">
        <w:rPr>
          <w:i/>
        </w:rPr>
        <w:t xml:space="preserve">: </w:t>
      </w:r>
      <w:r w:rsidR="000E7BD4" w:rsidRPr="007F0C59">
        <w:t xml:space="preserve">U.S. and European authorities have expressed concerns over the threat of widespread dislocation that could arise from significant changes in interest rates as many developed markets continue to </w:t>
      </w:r>
      <w:r w:rsidR="00001274" w:rsidRPr="007F0C59">
        <w:t>re</w:t>
      </w:r>
      <w:r w:rsidR="000E7BD4" w:rsidRPr="007F0C59">
        <w:t xml:space="preserve">cover from recessions. </w:t>
      </w:r>
      <w:r w:rsidRPr="007F0C59">
        <w:t>In addition, the U.S. Financial Stability Oversight Council identified the risk of fire sales as potentially posing f</w:t>
      </w:r>
      <w:r w:rsidR="002B4A9A">
        <w:t>inancial instability in the tri-</w:t>
      </w:r>
      <w:r w:rsidRPr="007F0C59">
        <w:t>party repo market used by many financial institutions for short term funding.</w:t>
      </w:r>
      <w:r w:rsidR="00FB2850" w:rsidRPr="007F0C59">
        <w:rPr>
          <w:rStyle w:val="FootnoteReference"/>
        </w:rPr>
        <w:footnoteReference w:id="4"/>
      </w:r>
      <w:r w:rsidR="00A82E70" w:rsidRPr="007F0C59">
        <w:t xml:space="preserve"> </w:t>
      </w:r>
    </w:p>
    <w:p w:rsidR="00EE7977" w:rsidRDefault="00EE7977" w:rsidP="009C64B2">
      <w:pPr>
        <w:pStyle w:val="BodyText"/>
        <w:spacing w:before="0" w:after="240"/>
        <w:rPr>
          <w:b/>
        </w:rPr>
      </w:pPr>
    </w:p>
    <w:p w:rsidR="00CA2EC1" w:rsidRDefault="00CA2EC1" w:rsidP="009C64B2">
      <w:pPr>
        <w:pStyle w:val="BodyText"/>
        <w:spacing w:before="0" w:after="240"/>
        <w:rPr>
          <w:b/>
        </w:rPr>
      </w:pPr>
    </w:p>
    <w:p w:rsidR="009C64B2" w:rsidRPr="007F0C59" w:rsidRDefault="003D025F" w:rsidP="009C64B2">
      <w:pPr>
        <w:pStyle w:val="BodyText"/>
        <w:spacing w:before="0" w:after="240"/>
        <w:rPr>
          <w:b/>
        </w:rPr>
      </w:pPr>
      <w:r w:rsidRPr="007F0C59">
        <w:rPr>
          <w:b/>
        </w:rPr>
        <w:t>Closing Remarks</w:t>
      </w:r>
    </w:p>
    <w:p w:rsidR="009C64B2" w:rsidRPr="007F0C59" w:rsidRDefault="009C64B2" w:rsidP="009C64B2">
      <w:pPr>
        <w:pStyle w:val="BodyText"/>
        <w:spacing w:before="0" w:after="240"/>
      </w:pPr>
      <w:r w:rsidRPr="007F0C59">
        <w:t xml:space="preserve">In conclusion, I would personally like to express my gratitude to all 25 members of the </w:t>
      </w:r>
      <w:r w:rsidR="0076751C" w:rsidRPr="007F0C59">
        <w:t xml:space="preserve">Working Group </w:t>
      </w:r>
      <w:r w:rsidRPr="007F0C59">
        <w:t>for responding so willingly and capably to the demands of address</w:t>
      </w:r>
      <w:r w:rsidR="005A481A" w:rsidRPr="007F0C59">
        <w:t>ing its challenging objectives.</w:t>
      </w:r>
      <w:r w:rsidRPr="007F0C59">
        <w:t xml:space="preserve"> I am grateful for their insights, expertise, and dedication in working towards meeting the </w:t>
      </w:r>
      <w:r w:rsidR="005A481A" w:rsidRPr="007F0C59">
        <w:t xml:space="preserve">Working Group’s </w:t>
      </w:r>
      <w:r w:rsidRPr="007F0C59">
        <w:t>objectives.</w:t>
      </w:r>
    </w:p>
    <w:p w:rsidR="009C64B2" w:rsidRPr="007F0C59" w:rsidRDefault="009C64B2" w:rsidP="009C64B2">
      <w:pPr>
        <w:pStyle w:val="BodyText"/>
        <w:spacing w:before="0" w:after="240"/>
      </w:pPr>
      <w:r w:rsidRPr="007F0C59">
        <w:t xml:space="preserve">We, the </w:t>
      </w:r>
      <w:r w:rsidR="0076751C" w:rsidRPr="007F0C59">
        <w:t>Working Group</w:t>
      </w:r>
      <w:r w:rsidRPr="007F0C59">
        <w:t>, also thank all of you, fellow members of INTOSAI, for the insights and expertise that you have lent to this effort.</w:t>
      </w:r>
    </w:p>
    <w:p w:rsidR="0015503C" w:rsidRDefault="000E7BD4" w:rsidP="000E7BD4">
      <w:pPr>
        <w:pStyle w:val="BodyText"/>
        <w:spacing w:before="0" w:after="240"/>
      </w:pPr>
      <w:r w:rsidRPr="007F0C59">
        <w:t>Thank you.</w:t>
      </w:r>
    </w:p>
    <w:p w:rsidR="0015503C" w:rsidRDefault="0015503C">
      <w:pPr>
        <w:spacing w:after="220"/>
      </w:pPr>
      <w:r>
        <w:br w:type="page"/>
      </w:r>
    </w:p>
    <w:p w:rsidR="00395F63" w:rsidRPr="0015503C" w:rsidRDefault="00346E4C" w:rsidP="00346E4C">
      <w:pPr>
        <w:pStyle w:val="BodyText"/>
        <w:spacing w:before="0" w:after="240"/>
        <w:rPr>
          <w:b/>
        </w:rPr>
      </w:pPr>
      <w:r w:rsidRPr="0015503C">
        <w:rPr>
          <w:b/>
        </w:rPr>
        <w:t>Appen</w:t>
      </w:r>
      <w:r w:rsidR="0015503C">
        <w:rPr>
          <w:b/>
        </w:rPr>
        <w:t>dix I: Implementation Status of International Financial Regulatory Reforms</w:t>
      </w:r>
      <w:r w:rsidRPr="0015503C">
        <w:rPr>
          <w:b/>
        </w:rPr>
        <w:t xml:space="preserve"> </w:t>
      </w:r>
    </w:p>
    <w:p w:rsidR="00223932" w:rsidRDefault="00223932" w:rsidP="00346E4C">
      <w:pPr>
        <w:pStyle w:val="BodyText"/>
        <w:spacing w:before="0" w:after="240"/>
      </w:pPr>
      <w:r>
        <w:t>The</w:t>
      </w:r>
      <w:r w:rsidRPr="00223932">
        <w:t xml:space="preserve"> Group of Twenty (G20) </w:t>
      </w:r>
      <w:r>
        <w:t xml:space="preserve">has positioned itself </w:t>
      </w:r>
      <w:r w:rsidRPr="00223932">
        <w:t xml:space="preserve">as the main </w:t>
      </w:r>
      <w:r>
        <w:t xml:space="preserve">international forum for reforming financial regulations. In 2008, the G20 leaders (heads of state and presidents) held their first summit in Washington, D.C., and committed to implement reforms designed to strengthen financial markets and regulatory regimes to help avoid future financial crises. Since 2008, the G20 leaders have met at least annually, in part to monitor progress and refine and expand their financial reform agenda. </w:t>
      </w:r>
      <w:r w:rsidR="0015503C" w:rsidRPr="0015503C">
        <w:t xml:space="preserve">The G20 leaders generally have called on their national authorities—along with </w:t>
      </w:r>
      <w:r w:rsidR="0015503C">
        <w:t>the Financial Stability Board (</w:t>
      </w:r>
      <w:r w:rsidR="0015503C" w:rsidRPr="0015503C">
        <w:t>FSB</w:t>
      </w:r>
      <w:r w:rsidR="0015503C">
        <w:t>)</w:t>
      </w:r>
      <w:r w:rsidR="0015503C" w:rsidRPr="0015503C">
        <w:t xml:space="preserve">; </w:t>
      </w:r>
      <w:r w:rsidR="0015503C">
        <w:t xml:space="preserve">international </w:t>
      </w:r>
      <w:r w:rsidR="0015503C" w:rsidRPr="0015503C">
        <w:t xml:space="preserve">standard setting bodies, </w:t>
      </w:r>
      <w:r w:rsidR="0015503C">
        <w:t xml:space="preserve">including </w:t>
      </w:r>
      <w:r w:rsidR="0015503C" w:rsidRPr="0015503C">
        <w:t xml:space="preserve">the Basel Committee </w:t>
      </w:r>
      <w:r w:rsidR="0015503C">
        <w:t xml:space="preserve">on Banking Supervision, International Organization of Securities Commissions (IOSCO, and </w:t>
      </w:r>
      <w:r w:rsidR="0015503C" w:rsidRPr="0015503C">
        <w:t>International Association of Insurance Supervisors</w:t>
      </w:r>
      <w:r w:rsidR="0015503C">
        <w:t xml:space="preserve"> (IAIS)—to</w:t>
      </w:r>
      <w:r w:rsidR="0015503C" w:rsidRPr="0015503C">
        <w:t xml:space="preserve"> convert their broad financial reform </w:t>
      </w:r>
      <w:r w:rsidR="0015503C">
        <w:t xml:space="preserve">agenda </w:t>
      </w:r>
      <w:r w:rsidR="0015503C" w:rsidRPr="0015503C">
        <w:t>into more specific standards (including policies, prin</w:t>
      </w:r>
      <w:r w:rsidR="0015503C">
        <w:t xml:space="preserve">ciples, practices, or guidance). </w:t>
      </w:r>
      <w:r w:rsidR="009A37D0">
        <w:t>FSB, in collaboration with standard setting bodies, monitors the implementation status of the reforms and prepares periodic progress reports. B</w:t>
      </w:r>
      <w:r w:rsidR="0015503C">
        <w:t xml:space="preserve">elow is a summary of the implementation status of the G20 financial regulatory reforms based on the most recently available </w:t>
      </w:r>
      <w:r w:rsidR="009A37D0">
        <w:t>progress reports.</w:t>
      </w:r>
    </w:p>
    <w:p w:rsidR="007C647D" w:rsidRPr="007C647D" w:rsidRDefault="0003315E" w:rsidP="00346E4C">
      <w:pPr>
        <w:pStyle w:val="BodyText"/>
        <w:spacing w:before="0" w:after="240"/>
        <w:rPr>
          <w:u w:val="single"/>
        </w:rPr>
      </w:pPr>
      <w:r w:rsidRPr="007C647D">
        <w:rPr>
          <w:u w:val="single"/>
        </w:rPr>
        <w:t>Implementation of Basel III Standards</w:t>
      </w:r>
    </w:p>
    <w:p w:rsidR="003B6029" w:rsidRDefault="0003315E" w:rsidP="009978C3">
      <w:pPr>
        <w:pStyle w:val="BodyText"/>
        <w:spacing w:before="0" w:after="240"/>
      </w:pPr>
      <w:r w:rsidRPr="0003315E">
        <w:t xml:space="preserve">At their 2010 summit in Seoul, the G20 leaders endorsed </w:t>
      </w:r>
      <w:r w:rsidR="0096149C">
        <w:t xml:space="preserve">the </w:t>
      </w:r>
      <w:r w:rsidRPr="0003315E">
        <w:t>Basel III capital standards and committed to adopt and implement the</w:t>
      </w:r>
      <w:r>
        <w:t xml:space="preserve">m. </w:t>
      </w:r>
      <w:r w:rsidR="00702BCC">
        <w:t xml:space="preserve">As </w:t>
      </w:r>
      <w:r w:rsidR="007D349A">
        <w:t xml:space="preserve">shown on </w:t>
      </w:r>
      <w:r w:rsidR="00702BCC">
        <w:t xml:space="preserve">table </w:t>
      </w:r>
      <w:r w:rsidR="007D349A">
        <w:t>1, all of the Basel Committee members reported that they have adopted or are in the process of adopting the Basel III capital requirements</w:t>
      </w:r>
      <w:r w:rsidR="000F30A6">
        <w:t xml:space="preserve"> as of March 31, 2014</w:t>
      </w:r>
      <w:r w:rsidR="009A37D0">
        <w:t xml:space="preserve"> (the most recently available data)</w:t>
      </w:r>
      <w:r w:rsidR="007D349A">
        <w:t>. However, progress adopting the other Basel III requirements</w:t>
      </w:r>
      <w:r w:rsidR="009978C3">
        <w:t xml:space="preserve">—the </w:t>
      </w:r>
      <w:r w:rsidR="009978C3" w:rsidRPr="009978C3">
        <w:t>additional loss absorbency requirements</w:t>
      </w:r>
      <w:r w:rsidR="009978C3">
        <w:t xml:space="preserve"> for global and domestic systemically important financial institutions, liquidity coverage ratio, and leverage ratio—is less advanced and uneven</w:t>
      </w:r>
      <w:r w:rsidR="004966B6">
        <w:t>.</w:t>
      </w:r>
    </w:p>
    <w:p w:rsidR="00606565" w:rsidRPr="00395F63" w:rsidRDefault="007D349A" w:rsidP="00606565">
      <w:pPr>
        <w:pStyle w:val="BodyText"/>
        <w:spacing w:before="0" w:after="240"/>
        <w:rPr>
          <w:b/>
          <w:sz w:val="20"/>
        </w:rPr>
      </w:pPr>
      <w:r w:rsidRPr="00395F63">
        <w:rPr>
          <w:b/>
          <w:sz w:val="20"/>
        </w:rPr>
        <w:t>Table 1</w:t>
      </w:r>
      <w:r w:rsidR="00702BCC" w:rsidRPr="00395F63">
        <w:rPr>
          <w:b/>
          <w:sz w:val="20"/>
        </w:rPr>
        <w:t>: Implementation Status of Basel</w:t>
      </w:r>
      <w:r w:rsidR="00662D1C" w:rsidRPr="00395F63">
        <w:rPr>
          <w:b/>
          <w:sz w:val="20"/>
        </w:rPr>
        <w:t xml:space="preserve"> </w:t>
      </w:r>
      <w:r w:rsidR="00702BCC" w:rsidRPr="00395F63">
        <w:rPr>
          <w:b/>
          <w:sz w:val="20"/>
        </w:rPr>
        <w:t xml:space="preserve">III as of </w:t>
      </w:r>
      <w:r w:rsidR="000F30A6" w:rsidRPr="00395F63">
        <w:rPr>
          <w:b/>
          <w:sz w:val="20"/>
        </w:rPr>
        <w:t xml:space="preserve">the </w:t>
      </w:r>
      <w:r w:rsidR="00702BCC" w:rsidRPr="00395F63">
        <w:rPr>
          <w:b/>
          <w:sz w:val="20"/>
        </w:rPr>
        <w:t>end of March 2014</w:t>
      </w:r>
    </w:p>
    <w:tbl>
      <w:tblPr>
        <w:tblStyle w:val="TableGrid"/>
        <w:tblW w:w="0" w:type="auto"/>
        <w:tblLook w:val="04A0"/>
      </w:tblPr>
      <w:tblGrid>
        <w:gridCol w:w="1818"/>
        <w:gridCol w:w="1530"/>
        <w:gridCol w:w="1550"/>
        <w:gridCol w:w="1530"/>
        <w:gridCol w:w="1530"/>
      </w:tblGrid>
      <w:tr w:rsidR="00662D1C" w:rsidRPr="00E02C17" w:rsidTr="00530040">
        <w:tc>
          <w:tcPr>
            <w:tcW w:w="1818" w:type="dxa"/>
          </w:tcPr>
          <w:p w:rsidR="00662D1C" w:rsidRPr="003C334A" w:rsidRDefault="00662D1C" w:rsidP="00662D1C">
            <w:pPr>
              <w:pStyle w:val="BodyText"/>
              <w:spacing w:before="100" w:beforeAutospacing="1" w:after="100" w:afterAutospacing="1" w:line="200" w:lineRule="atLeast"/>
              <w:rPr>
                <w:b/>
              </w:rPr>
            </w:pPr>
            <w:r w:rsidRPr="003C334A">
              <w:rPr>
                <w:b/>
              </w:rPr>
              <w:t>Jurisdiction</w:t>
            </w:r>
          </w:p>
        </w:tc>
        <w:tc>
          <w:tcPr>
            <w:tcW w:w="1530" w:type="dxa"/>
          </w:tcPr>
          <w:p w:rsidR="00662D1C" w:rsidRPr="003C334A" w:rsidRDefault="00662D1C" w:rsidP="00662D1C">
            <w:pPr>
              <w:pStyle w:val="BodyText"/>
              <w:spacing w:before="100" w:beforeAutospacing="1" w:after="100" w:afterAutospacing="1" w:line="200" w:lineRule="atLeast"/>
              <w:rPr>
                <w:b/>
              </w:rPr>
            </w:pPr>
            <w:r w:rsidRPr="003C334A">
              <w:rPr>
                <w:b/>
              </w:rPr>
              <w:t>Capital requirements</w:t>
            </w:r>
          </w:p>
        </w:tc>
        <w:tc>
          <w:tcPr>
            <w:tcW w:w="1550" w:type="dxa"/>
          </w:tcPr>
          <w:p w:rsidR="00662D1C" w:rsidRPr="003C334A" w:rsidRDefault="005B00BF" w:rsidP="000049BD">
            <w:pPr>
              <w:pStyle w:val="BodyText"/>
              <w:spacing w:before="100" w:beforeAutospacing="1" w:after="100" w:afterAutospacing="1" w:line="200" w:lineRule="atLeast"/>
              <w:rPr>
                <w:b/>
              </w:rPr>
            </w:pPr>
            <w:r w:rsidRPr="003C334A">
              <w:rPr>
                <w:b/>
              </w:rPr>
              <w:t xml:space="preserve">Requirements for </w:t>
            </w:r>
            <w:r w:rsidR="000049BD" w:rsidRPr="003C334A">
              <w:rPr>
                <w:b/>
              </w:rPr>
              <w:t>g</w:t>
            </w:r>
            <w:r w:rsidRPr="003C334A">
              <w:rPr>
                <w:b/>
              </w:rPr>
              <w:t>lobal or domestic  systemically important banks</w:t>
            </w:r>
            <w:r w:rsidR="00662D1C" w:rsidRPr="003C334A">
              <w:rPr>
                <w:b/>
              </w:rPr>
              <w:t xml:space="preserve"> </w:t>
            </w:r>
          </w:p>
        </w:tc>
        <w:tc>
          <w:tcPr>
            <w:tcW w:w="1530" w:type="dxa"/>
          </w:tcPr>
          <w:p w:rsidR="00662D1C" w:rsidRPr="003C334A" w:rsidRDefault="00662D1C" w:rsidP="005B00BF">
            <w:pPr>
              <w:pStyle w:val="BodyText"/>
              <w:spacing w:before="100" w:beforeAutospacing="1" w:after="100" w:afterAutospacing="1" w:line="200" w:lineRule="atLeast"/>
              <w:rPr>
                <w:b/>
              </w:rPr>
            </w:pPr>
            <w:r w:rsidRPr="003C334A">
              <w:rPr>
                <w:b/>
              </w:rPr>
              <w:t xml:space="preserve">Liquidity </w:t>
            </w:r>
            <w:r w:rsidR="005B00BF" w:rsidRPr="003C334A">
              <w:rPr>
                <w:b/>
              </w:rPr>
              <w:t>coverage ratio</w:t>
            </w:r>
          </w:p>
        </w:tc>
        <w:tc>
          <w:tcPr>
            <w:tcW w:w="1530" w:type="dxa"/>
          </w:tcPr>
          <w:p w:rsidR="00662D1C" w:rsidRPr="003C334A" w:rsidRDefault="00662D1C" w:rsidP="00662D1C">
            <w:pPr>
              <w:pStyle w:val="BodyText"/>
              <w:spacing w:before="100" w:beforeAutospacing="1" w:after="100" w:afterAutospacing="1" w:line="200" w:lineRule="atLeast"/>
              <w:rPr>
                <w:b/>
              </w:rPr>
            </w:pPr>
            <w:r w:rsidRPr="003C334A">
              <w:rPr>
                <w:b/>
              </w:rPr>
              <w:t>Leverage ratio</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Argentina</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Australia</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Brazil</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662D1C" w:rsidP="00662D1C">
            <w:pPr>
              <w:pStyle w:val="BodyText"/>
              <w:spacing w:before="100" w:beforeAutospacing="1" w:after="100" w:afterAutospacing="1" w:line="200" w:lineRule="atLeast"/>
            </w:pPr>
            <w:r w:rsidRPr="00E02C17">
              <w:t>No action</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Canada</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407997" w:rsidP="00407997">
            <w:pPr>
              <w:pStyle w:val="BodyText"/>
              <w:spacing w:before="100" w:beforeAutospacing="1" w:after="100" w:afterAutospacing="1" w:line="200" w:lineRule="atLeast"/>
            </w:pPr>
            <w:r>
              <w:t>Completed</w:t>
            </w:r>
          </w:p>
        </w:tc>
        <w:tc>
          <w:tcPr>
            <w:tcW w:w="153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China</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6A0FE9" w:rsidP="00662D1C">
            <w:pPr>
              <w:pStyle w:val="BodyText"/>
              <w:spacing w:before="100" w:beforeAutospacing="1" w:after="100" w:afterAutospacing="1" w:line="200" w:lineRule="atLeast"/>
            </w:pPr>
            <w:r>
              <w:t>Completed</w:t>
            </w:r>
          </w:p>
        </w:tc>
        <w:tc>
          <w:tcPr>
            <w:tcW w:w="1530" w:type="dxa"/>
          </w:tcPr>
          <w:p w:rsidR="00662D1C" w:rsidRPr="00E02C17" w:rsidRDefault="00662D1C" w:rsidP="00662D1C">
            <w:pPr>
              <w:pStyle w:val="BodyText"/>
              <w:spacing w:before="100" w:beforeAutospacing="1" w:after="100" w:afterAutospacing="1" w:line="200" w:lineRule="atLeast"/>
            </w:pPr>
            <w:r w:rsidRPr="00E02C17">
              <w:t xml:space="preserve">Completed </w:t>
            </w:r>
          </w:p>
        </w:tc>
        <w:tc>
          <w:tcPr>
            <w:tcW w:w="1530" w:type="dxa"/>
          </w:tcPr>
          <w:p w:rsidR="00662D1C" w:rsidRPr="00E02C17" w:rsidRDefault="006A0FE9" w:rsidP="00662D1C">
            <w:pPr>
              <w:pStyle w:val="BodyText"/>
              <w:spacing w:before="100" w:beforeAutospacing="1" w:after="100" w:afterAutospacing="1" w:line="200" w:lineRule="atLeast"/>
            </w:pPr>
            <w:r>
              <w:t>Completed</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Hong Kong SAR</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662D1C" w:rsidP="00662D1C">
            <w:pPr>
              <w:pStyle w:val="BodyText"/>
              <w:spacing w:before="100" w:beforeAutospacing="1" w:after="100" w:afterAutospacing="1" w:line="200" w:lineRule="atLeast"/>
            </w:pPr>
            <w:r w:rsidRPr="00E02C17">
              <w:t>No action</w:t>
            </w:r>
          </w:p>
        </w:tc>
        <w:tc>
          <w:tcPr>
            <w:tcW w:w="153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India</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9B221C" w:rsidP="00662D1C">
            <w:pPr>
              <w:pStyle w:val="BodyText"/>
              <w:spacing w:before="100" w:beforeAutospacing="1" w:after="100" w:afterAutospacing="1" w:line="200" w:lineRule="atLeast"/>
            </w:pPr>
            <w:r>
              <w:t>In process</w:t>
            </w:r>
          </w:p>
        </w:tc>
        <w:tc>
          <w:tcPr>
            <w:tcW w:w="1530" w:type="dxa"/>
          </w:tcPr>
          <w:p w:rsidR="00662D1C" w:rsidRPr="00E02C17" w:rsidRDefault="00662D1C" w:rsidP="00662D1C">
            <w:pPr>
              <w:spacing w:before="100" w:beforeAutospacing="1" w:after="100" w:afterAutospacing="1" w:line="200" w:lineRule="atLeast"/>
            </w:pPr>
            <w:r w:rsidRPr="00E02C17">
              <w:t>In process</w:t>
            </w:r>
          </w:p>
        </w:tc>
        <w:tc>
          <w:tcPr>
            <w:tcW w:w="1530" w:type="dxa"/>
          </w:tcPr>
          <w:p w:rsidR="00662D1C" w:rsidRPr="00E02C17" w:rsidRDefault="00662D1C" w:rsidP="00662D1C">
            <w:pPr>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Indonesia</w:t>
            </w:r>
          </w:p>
        </w:tc>
        <w:tc>
          <w:tcPr>
            <w:tcW w:w="1530" w:type="dxa"/>
          </w:tcPr>
          <w:p w:rsidR="00662D1C" w:rsidRPr="00E02C17" w:rsidRDefault="00662D1C" w:rsidP="00662D1C">
            <w:pPr>
              <w:pStyle w:val="BodyText"/>
              <w:spacing w:before="100" w:beforeAutospacing="1" w:after="100" w:afterAutospacing="1" w:line="200" w:lineRule="atLeast"/>
            </w:pPr>
            <w:r w:rsidRPr="00E02C17">
              <w:t xml:space="preserve">Completed </w:t>
            </w:r>
          </w:p>
        </w:tc>
        <w:tc>
          <w:tcPr>
            <w:tcW w:w="155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c>
          <w:tcPr>
            <w:tcW w:w="1530" w:type="dxa"/>
          </w:tcPr>
          <w:p w:rsidR="00662D1C" w:rsidRPr="00E02C17" w:rsidRDefault="00662D1C" w:rsidP="00662D1C">
            <w:pPr>
              <w:pStyle w:val="BodyText"/>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Japan</w:t>
            </w:r>
          </w:p>
        </w:tc>
        <w:tc>
          <w:tcPr>
            <w:tcW w:w="1530" w:type="dxa"/>
          </w:tcPr>
          <w:p w:rsidR="00662D1C" w:rsidRPr="00E02C17" w:rsidRDefault="00662D1C" w:rsidP="00662D1C">
            <w:pPr>
              <w:pStyle w:val="BodyText"/>
              <w:spacing w:before="100" w:beforeAutospacing="1" w:after="100" w:afterAutospacing="1" w:line="200" w:lineRule="atLeast"/>
            </w:pPr>
            <w:r w:rsidRPr="00E02C17">
              <w:t>In process</w:t>
            </w:r>
          </w:p>
        </w:tc>
        <w:tc>
          <w:tcPr>
            <w:tcW w:w="1550" w:type="dxa"/>
          </w:tcPr>
          <w:p w:rsidR="00662D1C" w:rsidRPr="00E02C17" w:rsidRDefault="00662D1C" w:rsidP="00662D1C">
            <w:pPr>
              <w:pStyle w:val="BodyText"/>
              <w:spacing w:before="100" w:beforeAutospacing="1" w:after="100" w:afterAutospacing="1" w:line="200" w:lineRule="atLeast"/>
            </w:pPr>
            <w:r w:rsidRPr="00E02C17">
              <w:t>In process</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c>
          <w:tcPr>
            <w:tcW w:w="1530" w:type="dxa"/>
          </w:tcPr>
          <w:p w:rsidR="00662D1C" w:rsidRPr="00E02C17" w:rsidRDefault="00662D1C"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Korea</w:t>
            </w:r>
          </w:p>
        </w:tc>
        <w:tc>
          <w:tcPr>
            <w:tcW w:w="1530" w:type="dxa"/>
          </w:tcPr>
          <w:p w:rsidR="00662D1C" w:rsidRPr="00E02C17" w:rsidRDefault="00662D1C"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No action</w:t>
            </w:r>
          </w:p>
        </w:tc>
        <w:tc>
          <w:tcPr>
            <w:tcW w:w="1530" w:type="dxa"/>
          </w:tcPr>
          <w:p w:rsidR="00662D1C" w:rsidRPr="00E02C17" w:rsidRDefault="00426D6D"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Mexico</w:t>
            </w:r>
          </w:p>
        </w:tc>
        <w:tc>
          <w:tcPr>
            <w:tcW w:w="1530" w:type="dxa"/>
          </w:tcPr>
          <w:p w:rsidR="00662D1C" w:rsidRPr="00E02C17" w:rsidRDefault="00166912" w:rsidP="00662D1C">
            <w:pPr>
              <w:pStyle w:val="BodyText"/>
              <w:spacing w:before="100" w:beforeAutospacing="1" w:after="100" w:afterAutospacing="1" w:line="200" w:lineRule="atLeast"/>
            </w:pPr>
            <w:r>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No action</w:t>
            </w:r>
          </w:p>
        </w:tc>
        <w:tc>
          <w:tcPr>
            <w:tcW w:w="1530" w:type="dxa"/>
          </w:tcPr>
          <w:p w:rsidR="00662D1C" w:rsidRPr="00E02C17" w:rsidRDefault="00426D6D" w:rsidP="00662D1C">
            <w:pPr>
              <w:pStyle w:val="BodyText"/>
              <w:spacing w:before="100" w:beforeAutospacing="1" w:after="100" w:afterAutospacing="1" w:line="200" w:lineRule="atLeast"/>
            </w:pPr>
            <w:r w:rsidRPr="00E02C17">
              <w:t>No action</w:t>
            </w:r>
          </w:p>
        </w:tc>
        <w:tc>
          <w:tcPr>
            <w:tcW w:w="1530" w:type="dxa"/>
          </w:tcPr>
          <w:p w:rsidR="00662D1C" w:rsidRPr="00E02C17" w:rsidRDefault="00426D6D" w:rsidP="00662D1C">
            <w:pPr>
              <w:pStyle w:val="BodyText"/>
              <w:spacing w:before="100" w:beforeAutospacing="1" w:after="100" w:afterAutospacing="1" w:line="200" w:lineRule="atLeast"/>
            </w:pPr>
            <w:r w:rsidRPr="00E02C17">
              <w:t>No action</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Russia</w:t>
            </w:r>
          </w:p>
        </w:tc>
        <w:tc>
          <w:tcPr>
            <w:tcW w:w="1530" w:type="dxa"/>
          </w:tcPr>
          <w:p w:rsidR="00662D1C" w:rsidRPr="00E02C17" w:rsidRDefault="00166912" w:rsidP="00166912">
            <w:pPr>
              <w:pStyle w:val="BodyText"/>
              <w:spacing w:before="100" w:beforeAutospacing="1" w:after="100" w:afterAutospacing="1" w:line="200" w:lineRule="atLeast"/>
            </w:pPr>
            <w:r>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Completed</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Saudi Arabia</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Singapore</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No action</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South Africa</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Switzerland</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Completed</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Turkey</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United States</w:t>
            </w:r>
          </w:p>
        </w:tc>
        <w:tc>
          <w:tcPr>
            <w:tcW w:w="1530" w:type="dxa"/>
          </w:tcPr>
          <w:p w:rsidR="00662D1C" w:rsidRPr="00E02C17" w:rsidRDefault="00426D6D" w:rsidP="00662D1C">
            <w:pPr>
              <w:pStyle w:val="BodyText"/>
              <w:spacing w:before="100" w:beforeAutospacing="1" w:after="100" w:afterAutospacing="1" w:line="200" w:lineRule="atLeast"/>
            </w:pPr>
            <w:r w:rsidRPr="00E02C17">
              <w:t>Completed</w:t>
            </w:r>
          </w:p>
        </w:tc>
        <w:tc>
          <w:tcPr>
            <w:tcW w:w="1550" w:type="dxa"/>
          </w:tcPr>
          <w:p w:rsidR="00662D1C" w:rsidRPr="00E02C17" w:rsidRDefault="00426D6D" w:rsidP="00662D1C">
            <w:pPr>
              <w:pStyle w:val="BodyText"/>
              <w:spacing w:before="100" w:beforeAutospacing="1" w:after="100" w:afterAutospacing="1" w:line="200" w:lineRule="atLeast"/>
            </w:pPr>
            <w:r w:rsidRPr="00E02C17">
              <w:t>No action</w:t>
            </w:r>
          </w:p>
        </w:tc>
        <w:tc>
          <w:tcPr>
            <w:tcW w:w="1530" w:type="dxa"/>
          </w:tcPr>
          <w:p w:rsidR="00662D1C" w:rsidRPr="00E02C17" w:rsidRDefault="00426D6D" w:rsidP="00662D1C">
            <w:pPr>
              <w:pStyle w:val="BodyText"/>
              <w:spacing w:before="100" w:beforeAutospacing="1" w:after="100" w:afterAutospacing="1" w:line="200" w:lineRule="atLeast"/>
            </w:pPr>
            <w:r w:rsidRPr="00E02C17">
              <w:t xml:space="preserve">In process </w:t>
            </w:r>
          </w:p>
        </w:tc>
        <w:tc>
          <w:tcPr>
            <w:tcW w:w="1530" w:type="dxa"/>
          </w:tcPr>
          <w:p w:rsidR="00662D1C" w:rsidRPr="00E02C17" w:rsidRDefault="00166912" w:rsidP="00662D1C">
            <w:pPr>
              <w:pStyle w:val="BodyText"/>
              <w:spacing w:before="100" w:beforeAutospacing="1" w:after="100" w:afterAutospacing="1" w:line="200" w:lineRule="atLeast"/>
            </w:pPr>
            <w:r>
              <w:t>Completed</w:t>
            </w:r>
          </w:p>
        </w:tc>
      </w:tr>
      <w:tr w:rsidR="00662D1C" w:rsidRPr="00E02C17" w:rsidTr="00530040">
        <w:trPr>
          <w:trHeight w:val="288"/>
        </w:trPr>
        <w:tc>
          <w:tcPr>
            <w:tcW w:w="1818" w:type="dxa"/>
          </w:tcPr>
          <w:p w:rsidR="00662D1C" w:rsidRPr="00E02C17" w:rsidRDefault="00662D1C" w:rsidP="00662D1C">
            <w:pPr>
              <w:pStyle w:val="BodyText"/>
              <w:spacing w:before="100" w:beforeAutospacing="1" w:after="100" w:afterAutospacing="1" w:line="200" w:lineRule="atLeast"/>
            </w:pPr>
            <w:r w:rsidRPr="00E02C17">
              <w:t xml:space="preserve">European </w:t>
            </w:r>
            <w:proofErr w:type="spellStart"/>
            <w:r w:rsidRPr="00E02C17">
              <w:t>Union</w:t>
            </w:r>
            <w:r w:rsidR="008377DE" w:rsidRPr="005D415A">
              <w:rPr>
                <w:color w:val="000000"/>
                <w:vertAlign w:val="superscript"/>
              </w:rPr>
              <w:t>a</w:t>
            </w:r>
            <w:proofErr w:type="spellEnd"/>
          </w:p>
        </w:tc>
        <w:tc>
          <w:tcPr>
            <w:tcW w:w="1530" w:type="dxa"/>
          </w:tcPr>
          <w:p w:rsidR="00662D1C" w:rsidRPr="00E02C17" w:rsidRDefault="00426D6D" w:rsidP="00662D1C">
            <w:pPr>
              <w:pStyle w:val="BodyText"/>
              <w:spacing w:before="100" w:beforeAutospacing="1" w:after="100" w:afterAutospacing="1" w:line="200" w:lineRule="atLeast"/>
            </w:pPr>
            <w:proofErr w:type="spellStart"/>
            <w:r w:rsidRPr="00E02C17">
              <w:t>Completed</w:t>
            </w:r>
            <w:r w:rsidR="003B5DE3" w:rsidRPr="003B5DE3">
              <w:rPr>
                <w:vertAlign w:val="superscript"/>
              </w:rPr>
              <w:t>a</w:t>
            </w:r>
            <w:proofErr w:type="spellEnd"/>
          </w:p>
        </w:tc>
        <w:tc>
          <w:tcPr>
            <w:tcW w:w="155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c>
          <w:tcPr>
            <w:tcW w:w="1530" w:type="dxa"/>
          </w:tcPr>
          <w:p w:rsidR="00662D1C" w:rsidRPr="00E02C17" w:rsidRDefault="00426D6D" w:rsidP="00662D1C">
            <w:pPr>
              <w:pStyle w:val="BodyText"/>
              <w:spacing w:before="100" w:beforeAutospacing="1" w:after="100" w:afterAutospacing="1" w:line="200" w:lineRule="atLeast"/>
            </w:pPr>
            <w:r w:rsidRPr="00E02C17">
              <w:t>In process</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Belgium</w:t>
            </w:r>
          </w:p>
        </w:tc>
        <w:tc>
          <w:tcPr>
            <w:tcW w:w="1530" w:type="dxa"/>
          </w:tcPr>
          <w:p w:rsidR="00530040" w:rsidRPr="00E02C17" w:rsidRDefault="00530040" w:rsidP="00530040">
            <w:pPr>
              <w:pStyle w:val="BodyText"/>
              <w:spacing w:before="100" w:beforeAutospacing="1" w:after="100" w:afterAutospacing="1" w:line="240" w:lineRule="auto"/>
            </w:pPr>
            <w:r w:rsidRPr="00E02C17">
              <w:t>In process</w:t>
            </w:r>
          </w:p>
        </w:tc>
        <w:tc>
          <w:tcPr>
            <w:tcW w:w="1550" w:type="dxa"/>
          </w:tcPr>
          <w:p w:rsidR="00530040" w:rsidRPr="00E02C17" w:rsidRDefault="00530040" w:rsidP="00530040">
            <w:pPr>
              <w:pStyle w:val="BodyText"/>
              <w:spacing w:before="100" w:beforeAutospacing="1" w:after="100" w:afterAutospacing="1" w:line="240" w:lineRule="auto"/>
            </w:pPr>
            <w:r w:rsidRPr="00E02C17">
              <w:t>In process</w:t>
            </w:r>
          </w:p>
        </w:tc>
        <w:tc>
          <w:tcPr>
            <w:tcW w:w="1530" w:type="dxa"/>
          </w:tcPr>
          <w:p w:rsidR="00530040" w:rsidRPr="00E02C17" w:rsidRDefault="00530040" w:rsidP="00530040">
            <w:pPr>
              <w:pStyle w:val="BodyText"/>
              <w:spacing w:before="100" w:beforeAutospacing="1" w:after="100" w:afterAutospacing="1" w:line="240" w:lineRule="auto"/>
            </w:pPr>
            <w:r>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France</w:t>
            </w:r>
          </w:p>
        </w:tc>
        <w:tc>
          <w:tcPr>
            <w:tcW w:w="1530" w:type="dxa"/>
          </w:tcPr>
          <w:p w:rsidR="00530040" w:rsidRPr="00E02C17" w:rsidRDefault="00530040" w:rsidP="00530040">
            <w:pPr>
              <w:pStyle w:val="BodyText"/>
              <w:spacing w:before="100" w:beforeAutospacing="1" w:after="100" w:afterAutospacing="1" w:line="240" w:lineRule="auto"/>
            </w:pPr>
            <w:r w:rsidRPr="00E02C17">
              <w:t>Completed</w:t>
            </w:r>
          </w:p>
        </w:tc>
        <w:tc>
          <w:tcPr>
            <w:tcW w:w="1550" w:type="dxa"/>
          </w:tcPr>
          <w:p w:rsidR="00530040" w:rsidRPr="00E02C17" w:rsidRDefault="00530040" w:rsidP="00530040">
            <w:pPr>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Germany</w:t>
            </w:r>
          </w:p>
        </w:tc>
        <w:tc>
          <w:tcPr>
            <w:tcW w:w="1530" w:type="dxa"/>
          </w:tcPr>
          <w:p w:rsidR="00530040" w:rsidRPr="00E02C17" w:rsidRDefault="00530040" w:rsidP="00530040">
            <w:pPr>
              <w:pStyle w:val="BodyText"/>
              <w:spacing w:before="100" w:beforeAutospacing="1" w:after="100" w:afterAutospacing="1" w:line="240" w:lineRule="auto"/>
            </w:pPr>
            <w:r w:rsidRPr="00E02C17">
              <w:t>Completed</w:t>
            </w:r>
          </w:p>
        </w:tc>
        <w:tc>
          <w:tcPr>
            <w:tcW w:w="1550" w:type="dxa"/>
          </w:tcPr>
          <w:p w:rsidR="00530040" w:rsidRPr="00E02C17" w:rsidRDefault="00530040" w:rsidP="00530040">
            <w:pPr>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Italy</w:t>
            </w:r>
          </w:p>
        </w:tc>
        <w:tc>
          <w:tcPr>
            <w:tcW w:w="1530" w:type="dxa"/>
          </w:tcPr>
          <w:p w:rsidR="00530040" w:rsidRPr="00E02C17" w:rsidRDefault="00530040" w:rsidP="00530040">
            <w:pPr>
              <w:pStyle w:val="BodyText"/>
              <w:spacing w:before="100" w:beforeAutospacing="1" w:after="100" w:afterAutospacing="1" w:line="240" w:lineRule="auto"/>
            </w:pPr>
            <w:r w:rsidRPr="00E02C17">
              <w:t>Completed</w:t>
            </w:r>
          </w:p>
        </w:tc>
        <w:tc>
          <w:tcPr>
            <w:tcW w:w="1550" w:type="dxa"/>
          </w:tcPr>
          <w:p w:rsidR="00530040" w:rsidRPr="00E02C17" w:rsidRDefault="00530040" w:rsidP="00530040">
            <w:pPr>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Luxembourg</w:t>
            </w:r>
          </w:p>
        </w:tc>
        <w:tc>
          <w:tcPr>
            <w:tcW w:w="1530" w:type="dxa"/>
          </w:tcPr>
          <w:p w:rsidR="00530040" w:rsidRPr="00E02C17" w:rsidRDefault="00530040" w:rsidP="00530040">
            <w:pPr>
              <w:pStyle w:val="BodyText"/>
              <w:spacing w:before="100" w:beforeAutospacing="1" w:after="100" w:afterAutospacing="1" w:line="240" w:lineRule="auto"/>
            </w:pPr>
            <w:r w:rsidRPr="00E02C17">
              <w:t>Completed</w:t>
            </w:r>
          </w:p>
        </w:tc>
        <w:tc>
          <w:tcPr>
            <w:tcW w:w="1550" w:type="dxa"/>
          </w:tcPr>
          <w:p w:rsidR="00530040" w:rsidRPr="00E02C17" w:rsidRDefault="00530040" w:rsidP="00530040">
            <w:pPr>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Netherlands</w:t>
            </w:r>
          </w:p>
        </w:tc>
        <w:tc>
          <w:tcPr>
            <w:tcW w:w="1530" w:type="dxa"/>
          </w:tcPr>
          <w:p w:rsidR="00530040" w:rsidRPr="00E02C17" w:rsidRDefault="00530040" w:rsidP="00530040">
            <w:pPr>
              <w:pStyle w:val="BodyText"/>
              <w:spacing w:before="100" w:beforeAutospacing="1" w:after="100" w:afterAutospacing="1" w:line="240" w:lineRule="auto"/>
            </w:pPr>
            <w:r w:rsidRPr="00E02C17">
              <w:t>In process</w:t>
            </w:r>
          </w:p>
        </w:tc>
        <w:tc>
          <w:tcPr>
            <w:tcW w:w="1550" w:type="dxa"/>
          </w:tcPr>
          <w:p w:rsidR="00530040" w:rsidRPr="00E02C17" w:rsidRDefault="00530040" w:rsidP="00530040">
            <w:pPr>
              <w:pStyle w:val="BodyText"/>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Spain</w:t>
            </w:r>
          </w:p>
        </w:tc>
        <w:tc>
          <w:tcPr>
            <w:tcW w:w="1530" w:type="dxa"/>
          </w:tcPr>
          <w:p w:rsidR="00530040" w:rsidRPr="00E02C17" w:rsidRDefault="00241F18" w:rsidP="00241F18">
            <w:pPr>
              <w:pStyle w:val="BodyText"/>
              <w:spacing w:before="100" w:beforeAutospacing="1" w:after="100" w:afterAutospacing="1" w:line="240" w:lineRule="auto"/>
            </w:pPr>
            <w:r>
              <w:t>Completed</w:t>
            </w:r>
          </w:p>
        </w:tc>
        <w:tc>
          <w:tcPr>
            <w:tcW w:w="1550" w:type="dxa"/>
          </w:tcPr>
          <w:p w:rsidR="00530040" w:rsidRPr="00E02C17" w:rsidRDefault="00530040" w:rsidP="00530040">
            <w:pPr>
              <w:pStyle w:val="BodyText"/>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Sweden</w:t>
            </w:r>
          </w:p>
        </w:tc>
        <w:tc>
          <w:tcPr>
            <w:tcW w:w="1530" w:type="dxa"/>
          </w:tcPr>
          <w:p w:rsidR="00530040" w:rsidRPr="00E02C17" w:rsidRDefault="00530040" w:rsidP="00530040">
            <w:pPr>
              <w:pStyle w:val="BodyText"/>
              <w:spacing w:before="100" w:beforeAutospacing="1" w:after="100" w:afterAutospacing="1" w:line="240" w:lineRule="auto"/>
            </w:pPr>
            <w:r w:rsidRPr="00E02C17">
              <w:t>In process</w:t>
            </w:r>
          </w:p>
        </w:tc>
        <w:tc>
          <w:tcPr>
            <w:tcW w:w="1550" w:type="dxa"/>
          </w:tcPr>
          <w:p w:rsidR="00530040" w:rsidRPr="00E02C17" w:rsidRDefault="00530040" w:rsidP="00530040">
            <w:pPr>
              <w:pStyle w:val="BodyText"/>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r w:rsidR="00530040" w:rsidRPr="00E02C17" w:rsidTr="00530040">
        <w:trPr>
          <w:trHeight w:val="288"/>
        </w:trPr>
        <w:tc>
          <w:tcPr>
            <w:tcW w:w="1818" w:type="dxa"/>
          </w:tcPr>
          <w:p w:rsidR="00530040" w:rsidRPr="00E02C17" w:rsidRDefault="00530040" w:rsidP="00530040">
            <w:pPr>
              <w:pStyle w:val="BodyText"/>
              <w:spacing w:before="100" w:beforeAutospacing="1" w:after="100" w:afterAutospacing="1" w:line="240" w:lineRule="auto"/>
            </w:pPr>
            <w:r w:rsidRPr="00E02C17">
              <w:t>United Kingdom</w:t>
            </w:r>
          </w:p>
        </w:tc>
        <w:tc>
          <w:tcPr>
            <w:tcW w:w="1530" w:type="dxa"/>
          </w:tcPr>
          <w:p w:rsidR="00530040" w:rsidRPr="00E02C17" w:rsidRDefault="00530040" w:rsidP="00530040">
            <w:pPr>
              <w:pStyle w:val="BodyText"/>
              <w:spacing w:before="100" w:beforeAutospacing="1" w:after="100" w:afterAutospacing="1" w:line="240" w:lineRule="auto"/>
            </w:pPr>
            <w:r w:rsidRPr="00E02C17">
              <w:t>In process</w:t>
            </w:r>
          </w:p>
        </w:tc>
        <w:tc>
          <w:tcPr>
            <w:tcW w:w="1550" w:type="dxa"/>
          </w:tcPr>
          <w:p w:rsidR="00530040" w:rsidRPr="00E02C17" w:rsidRDefault="00530040" w:rsidP="00530040">
            <w:pPr>
              <w:pStyle w:val="BodyText"/>
              <w:spacing w:before="100" w:beforeAutospacing="1" w:after="100" w:afterAutospacing="1" w:line="240" w:lineRule="auto"/>
            </w:pPr>
            <w:r w:rsidRPr="00E02C17">
              <w:t>In process</w:t>
            </w:r>
          </w:p>
        </w:tc>
        <w:tc>
          <w:tcPr>
            <w:tcW w:w="1530" w:type="dxa"/>
          </w:tcPr>
          <w:p w:rsidR="00530040" w:rsidRDefault="00530040" w:rsidP="00530040">
            <w:pPr>
              <w:spacing w:before="100" w:beforeAutospacing="1" w:after="100" w:afterAutospacing="1" w:line="240" w:lineRule="auto"/>
            </w:pPr>
            <w:r w:rsidRPr="00905520">
              <w:t>No action</w:t>
            </w:r>
          </w:p>
        </w:tc>
        <w:tc>
          <w:tcPr>
            <w:tcW w:w="1530" w:type="dxa"/>
          </w:tcPr>
          <w:p w:rsidR="00530040" w:rsidRDefault="00530040" w:rsidP="00530040">
            <w:pPr>
              <w:spacing w:before="100" w:beforeAutospacing="1" w:after="100" w:afterAutospacing="1" w:line="240" w:lineRule="auto"/>
            </w:pPr>
            <w:r w:rsidRPr="00F823BA">
              <w:t>No action</w:t>
            </w:r>
          </w:p>
        </w:tc>
      </w:tr>
    </w:tbl>
    <w:p w:rsidR="004966B6" w:rsidRPr="00E02C17" w:rsidRDefault="004966B6" w:rsidP="004966B6">
      <w:pPr>
        <w:pStyle w:val="BodyText"/>
        <w:spacing w:before="0" w:after="0"/>
      </w:pPr>
    </w:p>
    <w:p w:rsidR="008377DE" w:rsidRPr="00D6252C" w:rsidRDefault="003B5DE3" w:rsidP="008377DE">
      <w:pPr>
        <w:pStyle w:val="BodyText"/>
        <w:spacing w:before="0" w:after="240"/>
        <w:rPr>
          <w:sz w:val="18"/>
          <w:szCs w:val="18"/>
        </w:rPr>
      </w:pPr>
      <w:proofErr w:type="spellStart"/>
      <w:proofErr w:type="gramStart"/>
      <w:r w:rsidRPr="003B5DE3">
        <w:rPr>
          <w:sz w:val="18"/>
          <w:szCs w:val="18"/>
          <w:vertAlign w:val="superscript"/>
        </w:rPr>
        <w:t>a</w:t>
      </w:r>
      <w:r>
        <w:rPr>
          <w:sz w:val="18"/>
          <w:szCs w:val="18"/>
        </w:rPr>
        <w:t>The</w:t>
      </w:r>
      <w:proofErr w:type="spellEnd"/>
      <w:proofErr w:type="gramEnd"/>
      <w:r>
        <w:rPr>
          <w:sz w:val="18"/>
          <w:szCs w:val="18"/>
        </w:rPr>
        <w:t xml:space="preserve"> </w:t>
      </w:r>
      <w:r w:rsidRPr="002E79C6">
        <w:rPr>
          <w:sz w:val="18"/>
          <w:szCs w:val="18"/>
        </w:rPr>
        <w:t xml:space="preserve">European Union adopted the Capital Requirements Regulation and Directive IV to implement Basel III. The Capital Requirements Regulation includes Basel III’s capital, leverage, and liquidity requirements; is binding on all EU member states; and does not need to be transposed </w:t>
      </w:r>
      <w:r>
        <w:rPr>
          <w:sz w:val="18"/>
          <w:szCs w:val="18"/>
        </w:rPr>
        <w:t xml:space="preserve">by EU member states </w:t>
      </w:r>
      <w:r w:rsidRPr="002E79C6">
        <w:rPr>
          <w:sz w:val="18"/>
          <w:szCs w:val="18"/>
        </w:rPr>
        <w:t xml:space="preserve">into national law. The Capital Requirements Directive </w:t>
      </w:r>
      <w:r>
        <w:rPr>
          <w:sz w:val="18"/>
          <w:szCs w:val="18"/>
        </w:rPr>
        <w:t xml:space="preserve">includes Basel III’s capital conservation and countercyclical buffers and </w:t>
      </w:r>
      <w:r w:rsidRPr="002E79C6">
        <w:rPr>
          <w:sz w:val="18"/>
          <w:szCs w:val="18"/>
        </w:rPr>
        <w:t>has to be transposed by EU member states into national law.</w:t>
      </w:r>
      <w:r w:rsidR="008377DE">
        <w:rPr>
          <w:sz w:val="18"/>
          <w:szCs w:val="18"/>
        </w:rPr>
        <w:t xml:space="preserve"> </w:t>
      </w:r>
    </w:p>
    <w:p w:rsidR="004966B6" w:rsidRPr="00E02C17" w:rsidRDefault="004966B6" w:rsidP="004966B6">
      <w:pPr>
        <w:pStyle w:val="BodyText"/>
        <w:spacing w:before="0" w:after="0"/>
        <w:rPr>
          <w:sz w:val="18"/>
          <w:szCs w:val="18"/>
        </w:rPr>
      </w:pPr>
      <w:r w:rsidRPr="00E02C17">
        <w:rPr>
          <w:sz w:val="18"/>
          <w:szCs w:val="18"/>
        </w:rPr>
        <w:t>Source: Basel Committee on Banking Supervision</w:t>
      </w:r>
      <w:r w:rsidR="005B00BF" w:rsidRPr="00E02C17">
        <w:rPr>
          <w:sz w:val="18"/>
          <w:szCs w:val="18"/>
        </w:rPr>
        <w:t>.</w:t>
      </w:r>
    </w:p>
    <w:p w:rsidR="00295BB2" w:rsidRPr="00E02C17" w:rsidRDefault="00295BB2" w:rsidP="004966B6">
      <w:pPr>
        <w:pStyle w:val="BodyText"/>
        <w:spacing w:before="0" w:after="0"/>
        <w:rPr>
          <w:sz w:val="18"/>
          <w:szCs w:val="18"/>
        </w:rPr>
      </w:pPr>
    </w:p>
    <w:p w:rsidR="006B32E1" w:rsidRPr="00E02C17" w:rsidRDefault="006B32E1" w:rsidP="006B32E1">
      <w:pPr>
        <w:pStyle w:val="BodyText"/>
        <w:spacing w:before="0" w:after="240"/>
        <w:rPr>
          <w:sz w:val="18"/>
          <w:szCs w:val="18"/>
        </w:rPr>
      </w:pPr>
      <w:r>
        <w:rPr>
          <w:sz w:val="18"/>
          <w:szCs w:val="18"/>
        </w:rPr>
        <w:t xml:space="preserve">Notes: </w:t>
      </w:r>
      <w:r w:rsidRPr="00E02C17">
        <w:rPr>
          <w:sz w:val="18"/>
          <w:szCs w:val="18"/>
        </w:rPr>
        <w:t xml:space="preserve">Notes: “No action” means </w:t>
      </w:r>
      <w:r>
        <w:rPr>
          <w:sz w:val="18"/>
          <w:szCs w:val="18"/>
        </w:rPr>
        <w:t xml:space="preserve">draft regulation has not been published. </w:t>
      </w:r>
      <w:r w:rsidRPr="00E02C17">
        <w:rPr>
          <w:sz w:val="18"/>
          <w:szCs w:val="18"/>
        </w:rPr>
        <w:t>“In process” means that a draft</w:t>
      </w:r>
      <w:r>
        <w:rPr>
          <w:sz w:val="18"/>
          <w:szCs w:val="18"/>
        </w:rPr>
        <w:t xml:space="preserve"> </w:t>
      </w:r>
      <w:r w:rsidRPr="00E02C17">
        <w:rPr>
          <w:sz w:val="18"/>
          <w:szCs w:val="18"/>
        </w:rPr>
        <w:t xml:space="preserve">regulation </w:t>
      </w:r>
      <w:r>
        <w:rPr>
          <w:sz w:val="18"/>
          <w:szCs w:val="18"/>
        </w:rPr>
        <w:t>or final rule has been published.</w:t>
      </w:r>
      <w:r w:rsidRPr="00E02C17">
        <w:rPr>
          <w:sz w:val="18"/>
          <w:szCs w:val="18"/>
        </w:rPr>
        <w:t xml:space="preserve"> “Completed” means that the </w:t>
      </w:r>
      <w:r>
        <w:rPr>
          <w:sz w:val="18"/>
          <w:szCs w:val="18"/>
        </w:rPr>
        <w:t>final rule is in force.</w:t>
      </w:r>
    </w:p>
    <w:p w:rsidR="00DC7382" w:rsidRDefault="00DC7382" w:rsidP="00346E4C">
      <w:pPr>
        <w:pStyle w:val="BodyText"/>
        <w:spacing w:before="0" w:after="240"/>
        <w:rPr>
          <w:u w:val="single"/>
        </w:rPr>
      </w:pPr>
    </w:p>
    <w:p w:rsidR="007C647D" w:rsidRPr="00E02C17" w:rsidRDefault="0003315E" w:rsidP="00346E4C">
      <w:pPr>
        <w:pStyle w:val="BodyText"/>
        <w:spacing w:before="0" w:after="240"/>
        <w:rPr>
          <w:u w:val="single"/>
        </w:rPr>
      </w:pPr>
      <w:r w:rsidRPr="00E02C17">
        <w:rPr>
          <w:u w:val="single"/>
        </w:rPr>
        <w:t>Implementation of the O</w:t>
      </w:r>
      <w:r w:rsidR="00395F63">
        <w:rPr>
          <w:u w:val="single"/>
        </w:rPr>
        <w:t>ver-the-Counter (O</w:t>
      </w:r>
      <w:r w:rsidRPr="00E02C17">
        <w:rPr>
          <w:u w:val="single"/>
        </w:rPr>
        <w:t>TC</w:t>
      </w:r>
      <w:r w:rsidR="00395F63">
        <w:rPr>
          <w:u w:val="single"/>
        </w:rPr>
        <w:t>)</w:t>
      </w:r>
      <w:r w:rsidRPr="00E02C17">
        <w:rPr>
          <w:u w:val="single"/>
        </w:rPr>
        <w:t xml:space="preserve"> Derivatives Reforms</w:t>
      </w:r>
    </w:p>
    <w:p w:rsidR="00FE761A" w:rsidRPr="00E02C17" w:rsidRDefault="0003315E" w:rsidP="007C647D">
      <w:pPr>
        <w:pStyle w:val="BodyText"/>
        <w:spacing w:before="0" w:after="240"/>
      </w:pPr>
      <w:r w:rsidRPr="00E02C17">
        <w:t xml:space="preserve">At the 2009 summit in Pittsburgh, the G20 leaders committed that all standardized OTC derivatives should be traded on organized trading platforms and centrally cleared; all OTC derivatives should be reported to a repository; and all </w:t>
      </w:r>
      <w:proofErr w:type="spellStart"/>
      <w:r w:rsidRPr="00E02C17">
        <w:t>noncentrally</w:t>
      </w:r>
      <w:proofErr w:type="spellEnd"/>
      <w:r w:rsidRPr="00E02C17">
        <w:t xml:space="preserve"> cleared OTC derivatives should be subject to higher capital requirements. At the 2011 summit in Cannes, the G20 leaders further agreed to require </w:t>
      </w:r>
      <w:proofErr w:type="spellStart"/>
      <w:r w:rsidRPr="00E02C17">
        <w:t>noncentrally</w:t>
      </w:r>
      <w:proofErr w:type="spellEnd"/>
      <w:r w:rsidRPr="00E02C17">
        <w:t xml:space="preserve"> cleared OTC derivatives to be subject to margin requirements—the posting of collateral to offset losses caused by the default of a counterparty. </w:t>
      </w:r>
    </w:p>
    <w:p w:rsidR="00E00B17" w:rsidRDefault="00966D4F" w:rsidP="007C647D">
      <w:pPr>
        <w:pStyle w:val="BodyText"/>
        <w:spacing w:before="0" w:after="240"/>
      </w:pPr>
      <w:r w:rsidRPr="00E02C17">
        <w:t>As shown in table 2, almost all of FSB member</w:t>
      </w:r>
      <w:r w:rsidR="006E6280" w:rsidRPr="00E02C17">
        <w:t xml:space="preserve"> jurisdiction</w:t>
      </w:r>
      <w:r w:rsidRPr="00E02C17">
        <w:t xml:space="preserve">s reported that they have regulations in effect </w:t>
      </w:r>
      <w:r w:rsidR="009978C3" w:rsidRPr="00E02C17">
        <w:t>to implement</w:t>
      </w:r>
      <w:r w:rsidR="00AC4D8E" w:rsidRPr="00E02C17">
        <w:t xml:space="preserve"> </w:t>
      </w:r>
      <w:r w:rsidRPr="00E02C17">
        <w:t xml:space="preserve">the trade reporting </w:t>
      </w:r>
      <w:r w:rsidR="00FE5723" w:rsidRPr="00E02C17">
        <w:t xml:space="preserve">and capital </w:t>
      </w:r>
      <w:r w:rsidRPr="00E02C17">
        <w:t>requirement</w:t>
      </w:r>
      <w:r w:rsidR="00FE5723" w:rsidRPr="00E02C17">
        <w:t>s</w:t>
      </w:r>
      <w:r w:rsidR="009978C3" w:rsidRPr="00E02C17">
        <w:t xml:space="preserve"> as of March 31, 2014</w:t>
      </w:r>
      <w:r w:rsidR="00826241">
        <w:t xml:space="preserve"> (the most recently available data)</w:t>
      </w:r>
      <w:r w:rsidR="00FE5723" w:rsidRPr="00E02C17">
        <w:t xml:space="preserve">. </w:t>
      </w:r>
      <w:r w:rsidR="006E6280" w:rsidRPr="00E02C17">
        <w:t xml:space="preserve">In contrast, progress implementing the central clearing, exchange trading, and margin requirements is much less advanced and </w:t>
      </w:r>
      <w:r w:rsidR="009978C3" w:rsidRPr="00E02C17">
        <w:t>un</w:t>
      </w:r>
      <w:r w:rsidR="006E6280" w:rsidRPr="00E02C17">
        <w:t xml:space="preserve">even across FSB member jurisdictions. </w:t>
      </w:r>
    </w:p>
    <w:p w:rsidR="00DC7382" w:rsidRDefault="00DC7382" w:rsidP="007C647D">
      <w:pPr>
        <w:pStyle w:val="BodyText"/>
        <w:spacing w:before="0" w:after="240"/>
      </w:pPr>
    </w:p>
    <w:p w:rsidR="00DC7382" w:rsidRDefault="00DC7382" w:rsidP="007C647D">
      <w:pPr>
        <w:pStyle w:val="BodyText"/>
        <w:spacing w:before="0" w:after="240"/>
      </w:pPr>
    </w:p>
    <w:p w:rsidR="00DC7382" w:rsidRPr="00E02C17" w:rsidRDefault="00DC7382" w:rsidP="007C647D">
      <w:pPr>
        <w:pStyle w:val="BodyText"/>
        <w:spacing w:before="0" w:after="240"/>
      </w:pPr>
    </w:p>
    <w:p w:rsidR="00DA47AA" w:rsidRPr="00395F63" w:rsidRDefault="00DA47AA" w:rsidP="007C647D">
      <w:pPr>
        <w:pStyle w:val="BodyText"/>
        <w:spacing w:before="0" w:after="240"/>
        <w:rPr>
          <w:b/>
          <w:sz w:val="20"/>
        </w:rPr>
      </w:pPr>
      <w:r w:rsidRPr="00395F63">
        <w:rPr>
          <w:b/>
          <w:sz w:val="20"/>
        </w:rPr>
        <w:t xml:space="preserve">Table 2: Status of </w:t>
      </w:r>
      <w:r w:rsidR="00AB721A" w:rsidRPr="00395F63">
        <w:rPr>
          <w:b/>
          <w:sz w:val="20"/>
        </w:rPr>
        <w:t xml:space="preserve">Regulations Implementing </w:t>
      </w:r>
      <w:r w:rsidRPr="00395F63">
        <w:rPr>
          <w:b/>
          <w:sz w:val="20"/>
        </w:rPr>
        <w:t xml:space="preserve">OTC Derivatives Market Reforms as of </w:t>
      </w:r>
      <w:r w:rsidR="007F4120">
        <w:rPr>
          <w:b/>
          <w:sz w:val="20"/>
        </w:rPr>
        <w:t xml:space="preserve">April </w:t>
      </w:r>
      <w:r w:rsidRPr="00395F63">
        <w:rPr>
          <w:b/>
          <w:sz w:val="20"/>
        </w:rPr>
        <w:t>2014</w:t>
      </w:r>
    </w:p>
    <w:tbl>
      <w:tblPr>
        <w:tblStyle w:val="TableGrid"/>
        <w:tblW w:w="0" w:type="auto"/>
        <w:tblLook w:val="04A0"/>
      </w:tblPr>
      <w:tblGrid>
        <w:gridCol w:w="1998"/>
        <w:gridCol w:w="1515"/>
        <w:gridCol w:w="1516"/>
        <w:gridCol w:w="1515"/>
        <w:gridCol w:w="1516"/>
        <w:gridCol w:w="1516"/>
      </w:tblGrid>
      <w:tr w:rsidR="005B00BF" w:rsidRPr="00E02C17" w:rsidTr="00AB721A">
        <w:trPr>
          <w:trHeight w:val="780"/>
        </w:trPr>
        <w:tc>
          <w:tcPr>
            <w:tcW w:w="1998" w:type="dxa"/>
          </w:tcPr>
          <w:p w:rsidR="005B00BF" w:rsidRPr="00E02C17" w:rsidRDefault="005B00BF" w:rsidP="00DA47AA">
            <w:pPr>
              <w:pStyle w:val="BodyText"/>
              <w:spacing w:before="0" w:after="0" w:line="240" w:lineRule="auto"/>
            </w:pPr>
            <w:r w:rsidRPr="00E02C17">
              <w:t>Jurisdiction</w:t>
            </w:r>
          </w:p>
        </w:tc>
        <w:tc>
          <w:tcPr>
            <w:tcW w:w="1515" w:type="dxa"/>
          </w:tcPr>
          <w:p w:rsidR="005B00BF" w:rsidRPr="00E02C17" w:rsidRDefault="005B00BF" w:rsidP="00DA47AA">
            <w:pPr>
              <w:pStyle w:val="BodyText"/>
              <w:spacing w:before="0" w:after="0" w:line="240" w:lineRule="auto"/>
            </w:pPr>
            <w:r w:rsidRPr="00E02C17">
              <w:t>Central Clearing</w:t>
            </w:r>
          </w:p>
        </w:tc>
        <w:tc>
          <w:tcPr>
            <w:tcW w:w="1516" w:type="dxa"/>
          </w:tcPr>
          <w:p w:rsidR="005B00BF" w:rsidRPr="00E02C17" w:rsidRDefault="005B00BF" w:rsidP="00DA47AA">
            <w:pPr>
              <w:pStyle w:val="BodyText"/>
              <w:spacing w:before="0" w:after="0" w:line="240" w:lineRule="auto"/>
            </w:pPr>
            <w:r w:rsidRPr="00E02C17">
              <w:t xml:space="preserve">Exchange or </w:t>
            </w:r>
            <w:r w:rsidR="00BA0DC0" w:rsidRPr="00E02C17">
              <w:t xml:space="preserve">electronic </w:t>
            </w:r>
            <w:r w:rsidRPr="00E02C17">
              <w:t>platform trading</w:t>
            </w:r>
          </w:p>
        </w:tc>
        <w:tc>
          <w:tcPr>
            <w:tcW w:w="1515" w:type="dxa"/>
          </w:tcPr>
          <w:p w:rsidR="005B00BF" w:rsidRPr="00E02C17" w:rsidRDefault="005B00BF" w:rsidP="00DA47AA">
            <w:pPr>
              <w:pStyle w:val="BodyText"/>
              <w:spacing w:before="0" w:after="0" w:line="240" w:lineRule="auto"/>
            </w:pPr>
            <w:r w:rsidRPr="00E02C17">
              <w:t>Reporting to trade repositories</w:t>
            </w:r>
          </w:p>
        </w:tc>
        <w:tc>
          <w:tcPr>
            <w:tcW w:w="1516" w:type="dxa"/>
          </w:tcPr>
          <w:p w:rsidR="005B00BF" w:rsidRPr="00E02C17" w:rsidRDefault="005B00BF" w:rsidP="00DA47AA">
            <w:pPr>
              <w:pStyle w:val="BodyText"/>
              <w:spacing w:before="0" w:after="0" w:line="240" w:lineRule="auto"/>
            </w:pPr>
            <w:r w:rsidRPr="00E02C17">
              <w:t>Capital</w:t>
            </w:r>
          </w:p>
        </w:tc>
        <w:tc>
          <w:tcPr>
            <w:tcW w:w="1516" w:type="dxa"/>
          </w:tcPr>
          <w:p w:rsidR="005B00BF" w:rsidRPr="00E02C17" w:rsidRDefault="005B00BF" w:rsidP="00DA47AA">
            <w:pPr>
              <w:pStyle w:val="BodyText"/>
              <w:spacing w:before="0" w:after="0" w:line="240" w:lineRule="auto"/>
            </w:pPr>
            <w:r w:rsidRPr="00E02C17">
              <w:t>Margin</w:t>
            </w:r>
          </w:p>
        </w:tc>
      </w:tr>
      <w:tr w:rsidR="005B00BF" w:rsidRPr="00E02C17" w:rsidTr="00AB721A">
        <w:trPr>
          <w:trHeight w:val="288"/>
        </w:trPr>
        <w:tc>
          <w:tcPr>
            <w:tcW w:w="1998" w:type="dxa"/>
          </w:tcPr>
          <w:p w:rsidR="005B00BF" w:rsidRPr="00E02C17" w:rsidRDefault="005B00BF" w:rsidP="00DA47AA">
            <w:pPr>
              <w:pStyle w:val="BodyText"/>
              <w:spacing w:before="100" w:beforeAutospacing="1" w:after="100" w:afterAutospacing="1" w:line="240" w:lineRule="auto"/>
            </w:pPr>
            <w:r w:rsidRPr="00E02C17">
              <w:t>Argentina</w:t>
            </w:r>
          </w:p>
        </w:tc>
        <w:tc>
          <w:tcPr>
            <w:tcW w:w="1515" w:type="dxa"/>
          </w:tcPr>
          <w:p w:rsidR="005B00BF" w:rsidRPr="00E02C17" w:rsidRDefault="00E311BF" w:rsidP="00DA47AA">
            <w:pPr>
              <w:pStyle w:val="BodyText"/>
              <w:spacing w:before="100" w:beforeAutospacing="1" w:after="100" w:afterAutospacing="1" w:line="240" w:lineRule="auto"/>
            </w:pPr>
            <w:r w:rsidRPr="00E02C17">
              <w:t>Adopted</w:t>
            </w:r>
          </w:p>
        </w:tc>
        <w:tc>
          <w:tcPr>
            <w:tcW w:w="1516" w:type="dxa"/>
          </w:tcPr>
          <w:p w:rsidR="005B00BF" w:rsidRPr="00E02C17" w:rsidRDefault="00E311BF" w:rsidP="00DA47AA">
            <w:pPr>
              <w:pStyle w:val="BodyText"/>
              <w:spacing w:before="100" w:beforeAutospacing="1" w:after="100" w:afterAutospacing="1" w:line="240" w:lineRule="auto"/>
            </w:pPr>
            <w:r w:rsidRPr="00E02C17">
              <w:t>Adopted</w:t>
            </w:r>
          </w:p>
        </w:tc>
        <w:tc>
          <w:tcPr>
            <w:tcW w:w="1515" w:type="dxa"/>
          </w:tcPr>
          <w:p w:rsidR="005B00BF" w:rsidRPr="00E02C17" w:rsidRDefault="00E311BF" w:rsidP="00DA47AA">
            <w:pPr>
              <w:pStyle w:val="BodyText"/>
              <w:spacing w:before="100" w:beforeAutospacing="1" w:after="100" w:afterAutospacing="1" w:line="240" w:lineRule="auto"/>
            </w:pPr>
            <w:r w:rsidRPr="00E02C17">
              <w:t>Adopted</w:t>
            </w:r>
          </w:p>
        </w:tc>
        <w:tc>
          <w:tcPr>
            <w:tcW w:w="1516" w:type="dxa"/>
          </w:tcPr>
          <w:p w:rsidR="005B00BF" w:rsidRPr="00E02C17" w:rsidRDefault="00E311BF" w:rsidP="00DA47AA">
            <w:pPr>
              <w:pStyle w:val="BodyText"/>
              <w:spacing w:before="100" w:beforeAutospacing="1" w:after="100" w:afterAutospacing="1" w:line="240" w:lineRule="auto"/>
            </w:pPr>
            <w:r w:rsidRPr="00E02C17">
              <w:t>Effective</w:t>
            </w:r>
          </w:p>
        </w:tc>
        <w:tc>
          <w:tcPr>
            <w:tcW w:w="1516" w:type="dxa"/>
          </w:tcPr>
          <w:p w:rsidR="005B00BF" w:rsidRPr="00E02C17" w:rsidRDefault="00E311BF" w:rsidP="00DA47AA">
            <w:pPr>
              <w:pStyle w:val="BodyText"/>
              <w:spacing w:before="100" w:beforeAutospacing="1" w:after="100" w:afterAutospacing="1" w:line="240" w:lineRule="auto"/>
            </w:pPr>
            <w:r w:rsidRPr="00E02C17">
              <w:t>Consultation</w:t>
            </w:r>
          </w:p>
        </w:tc>
      </w:tr>
      <w:tr w:rsidR="005B00BF" w:rsidRPr="00E02C17" w:rsidTr="00AB721A">
        <w:trPr>
          <w:trHeight w:val="288"/>
        </w:trPr>
        <w:tc>
          <w:tcPr>
            <w:tcW w:w="1998" w:type="dxa"/>
          </w:tcPr>
          <w:p w:rsidR="005B00BF" w:rsidRPr="00E02C17" w:rsidRDefault="005B00BF" w:rsidP="00DA47AA">
            <w:pPr>
              <w:pStyle w:val="BodyText"/>
              <w:spacing w:before="100" w:beforeAutospacing="1" w:after="100" w:afterAutospacing="1" w:line="240" w:lineRule="auto"/>
            </w:pPr>
            <w:r w:rsidRPr="00E02C17">
              <w:t>Australia</w:t>
            </w:r>
          </w:p>
        </w:tc>
        <w:tc>
          <w:tcPr>
            <w:tcW w:w="1515" w:type="dxa"/>
          </w:tcPr>
          <w:p w:rsidR="005B00BF" w:rsidRPr="00E02C17" w:rsidRDefault="00E311BF" w:rsidP="00DA47AA">
            <w:pPr>
              <w:pStyle w:val="BodyText"/>
              <w:spacing w:before="100" w:beforeAutospacing="1" w:after="100" w:afterAutospacing="1" w:line="240" w:lineRule="auto"/>
            </w:pPr>
            <w:r w:rsidRPr="00E02C17">
              <w:t>Consultation</w:t>
            </w:r>
          </w:p>
        </w:tc>
        <w:tc>
          <w:tcPr>
            <w:tcW w:w="1516" w:type="dxa"/>
          </w:tcPr>
          <w:p w:rsidR="005B00BF" w:rsidRPr="00E02C17" w:rsidRDefault="00E311BF" w:rsidP="00DA47AA">
            <w:pPr>
              <w:pStyle w:val="BodyText"/>
              <w:spacing w:before="100" w:beforeAutospacing="1" w:after="100" w:afterAutospacing="1" w:line="240" w:lineRule="auto"/>
            </w:pPr>
            <w:r w:rsidRPr="00E02C17">
              <w:t>No action</w:t>
            </w:r>
          </w:p>
        </w:tc>
        <w:tc>
          <w:tcPr>
            <w:tcW w:w="1515" w:type="dxa"/>
          </w:tcPr>
          <w:p w:rsidR="005B00BF" w:rsidRPr="00E02C17" w:rsidRDefault="00E311BF" w:rsidP="00DA47AA">
            <w:pPr>
              <w:pStyle w:val="BodyText"/>
              <w:spacing w:before="100" w:beforeAutospacing="1" w:after="100" w:afterAutospacing="1" w:line="240" w:lineRule="auto"/>
            </w:pPr>
            <w:r w:rsidRPr="00E02C17">
              <w:t>Effective</w:t>
            </w:r>
          </w:p>
        </w:tc>
        <w:tc>
          <w:tcPr>
            <w:tcW w:w="1516" w:type="dxa"/>
          </w:tcPr>
          <w:p w:rsidR="005B00BF" w:rsidRPr="00E02C17" w:rsidRDefault="00E311BF" w:rsidP="00DA47AA">
            <w:pPr>
              <w:pStyle w:val="BodyText"/>
              <w:spacing w:before="100" w:beforeAutospacing="1" w:after="100" w:afterAutospacing="1" w:line="240" w:lineRule="auto"/>
            </w:pPr>
            <w:r w:rsidRPr="00E02C17">
              <w:t>Effective</w:t>
            </w:r>
          </w:p>
        </w:tc>
        <w:tc>
          <w:tcPr>
            <w:tcW w:w="1516" w:type="dxa"/>
          </w:tcPr>
          <w:p w:rsidR="005B00BF" w:rsidRPr="00E02C17" w:rsidRDefault="00E311BF" w:rsidP="00DA47AA">
            <w:pPr>
              <w:pStyle w:val="BodyText"/>
              <w:spacing w:before="100" w:beforeAutospacing="1" w:after="100" w:afterAutospacing="1" w:line="240" w:lineRule="auto"/>
            </w:pPr>
            <w:r w:rsidRPr="00E02C17">
              <w:t>N/A</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Brazil</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E311BF"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AB721A">
            <w:pPr>
              <w:pStyle w:val="BodyText"/>
              <w:spacing w:before="100" w:beforeAutospacing="1" w:after="100" w:afterAutospacing="1" w:line="240" w:lineRule="auto"/>
            </w:pPr>
            <w:r w:rsidRPr="00E02C17">
              <w:t>Effective</w:t>
            </w:r>
          </w:p>
        </w:tc>
        <w:tc>
          <w:tcPr>
            <w:tcW w:w="1516" w:type="dxa"/>
          </w:tcPr>
          <w:p w:rsidR="00E311BF" w:rsidRPr="00E02C17" w:rsidRDefault="00E311BF" w:rsidP="00AB721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Canada</w:t>
            </w:r>
          </w:p>
        </w:tc>
        <w:tc>
          <w:tcPr>
            <w:tcW w:w="1515" w:type="dxa"/>
          </w:tcPr>
          <w:p w:rsidR="00E311BF" w:rsidRPr="00E02C17" w:rsidRDefault="00E311BF" w:rsidP="00DA47AA">
            <w:pPr>
              <w:pStyle w:val="BodyText"/>
              <w:spacing w:before="100" w:beforeAutospacing="1" w:after="100" w:afterAutospacing="1" w:line="240" w:lineRule="auto"/>
            </w:pPr>
            <w:r w:rsidRPr="00E02C17">
              <w:t>Consultation</w:t>
            </w:r>
          </w:p>
        </w:tc>
        <w:tc>
          <w:tcPr>
            <w:tcW w:w="1516" w:type="dxa"/>
          </w:tcPr>
          <w:p w:rsidR="00E311BF" w:rsidRPr="00E02C17" w:rsidRDefault="00E311BF"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AB721A">
            <w:pPr>
              <w:pStyle w:val="BodyText"/>
              <w:spacing w:before="100" w:beforeAutospacing="1" w:after="100" w:afterAutospacing="1" w:line="240" w:lineRule="auto"/>
            </w:pPr>
            <w:r w:rsidRPr="00E02C17">
              <w:t>Adopted</w:t>
            </w:r>
          </w:p>
        </w:tc>
        <w:tc>
          <w:tcPr>
            <w:tcW w:w="1516" w:type="dxa"/>
          </w:tcPr>
          <w:p w:rsidR="00E311BF" w:rsidRPr="00E02C17" w:rsidRDefault="00E311BF" w:rsidP="00AB721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China</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European Union</w:t>
            </w:r>
          </w:p>
        </w:tc>
        <w:tc>
          <w:tcPr>
            <w:tcW w:w="1515" w:type="dxa"/>
          </w:tcPr>
          <w:p w:rsidR="00E311BF" w:rsidRPr="00E02C17" w:rsidRDefault="00E311BF" w:rsidP="00DA47AA">
            <w:pPr>
              <w:pStyle w:val="BodyText"/>
              <w:spacing w:before="100" w:beforeAutospacing="1" w:after="100" w:afterAutospacing="1" w:line="240" w:lineRule="auto"/>
            </w:pPr>
            <w:r w:rsidRPr="00E02C17">
              <w:t>Consultation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Consultation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Hong Kong SAR</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India</w:t>
            </w:r>
          </w:p>
        </w:tc>
        <w:tc>
          <w:tcPr>
            <w:tcW w:w="1515" w:type="dxa"/>
          </w:tcPr>
          <w:p w:rsidR="00E311BF" w:rsidRPr="00E02C17" w:rsidRDefault="00E311BF" w:rsidP="00DA47AA">
            <w:pPr>
              <w:pStyle w:val="BodyText"/>
              <w:spacing w:before="100" w:beforeAutospacing="1" w:after="100" w:afterAutospacing="1" w:line="240" w:lineRule="auto"/>
            </w:pPr>
            <w:r w:rsidRPr="00E02C17">
              <w:t>Adopted</w:t>
            </w:r>
          </w:p>
        </w:tc>
        <w:tc>
          <w:tcPr>
            <w:tcW w:w="1516" w:type="dxa"/>
          </w:tcPr>
          <w:p w:rsidR="00E311BF" w:rsidRPr="00E02C17" w:rsidRDefault="00E311BF" w:rsidP="00DA47AA">
            <w:pPr>
              <w:pStyle w:val="BodyText"/>
              <w:spacing w:before="100" w:beforeAutospacing="1" w:after="100" w:afterAutospacing="1" w:line="240" w:lineRule="auto"/>
            </w:pPr>
            <w:r w:rsidRPr="00E02C17">
              <w:t>Adopted</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Indonesia</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6" w:type="dxa"/>
          </w:tcPr>
          <w:p w:rsidR="00E311BF" w:rsidRPr="00E02C17" w:rsidRDefault="00E311BF" w:rsidP="00DA47AA">
            <w:pPr>
              <w:pStyle w:val="BodyText"/>
              <w:spacing w:before="100" w:beforeAutospacing="1" w:after="100" w:afterAutospacing="1" w:line="240" w:lineRule="auto"/>
            </w:pPr>
            <w:r w:rsidRPr="00E02C17">
              <w:t>N/A</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Japan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Korea</w:t>
            </w:r>
          </w:p>
        </w:tc>
        <w:tc>
          <w:tcPr>
            <w:tcW w:w="1515" w:type="dxa"/>
          </w:tcPr>
          <w:p w:rsidR="00E311BF" w:rsidRPr="00E02C17" w:rsidRDefault="00E311BF" w:rsidP="00DA47AA">
            <w:pPr>
              <w:pStyle w:val="BodyText"/>
              <w:spacing w:before="100" w:beforeAutospacing="1" w:after="100" w:afterAutospacing="1" w:line="240" w:lineRule="auto"/>
            </w:pPr>
            <w:r w:rsidRPr="00E02C17">
              <w:t>Adopted</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Mexico</w:t>
            </w:r>
          </w:p>
        </w:tc>
        <w:tc>
          <w:tcPr>
            <w:tcW w:w="1515" w:type="dxa"/>
          </w:tcPr>
          <w:p w:rsidR="00E311BF" w:rsidRPr="00E02C17" w:rsidRDefault="00E311BF" w:rsidP="00DA47AA">
            <w:pPr>
              <w:pStyle w:val="BodyText"/>
              <w:spacing w:before="100" w:beforeAutospacing="1" w:after="100" w:afterAutospacing="1" w:line="240" w:lineRule="auto"/>
            </w:pPr>
            <w:r w:rsidRPr="00E02C17">
              <w:t>Proposed</w:t>
            </w:r>
          </w:p>
        </w:tc>
        <w:tc>
          <w:tcPr>
            <w:tcW w:w="1516" w:type="dxa"/>
          </w:tcPr>
          <w:p w:rsidR="00E311BF" w:rsidRPr="00E02C17" w:rsidRDefault="00E311BF" w:rsidP="00DA47AA">
            <w:pPr>
              <w:pStyle w:val="BodyText"/>
              <w:spacing w:before="100" w:beforeAutospacing="1" w:after="100" w:afterAutospacing="1" w:line="240" w:lineRule="auto"/>
            </w:pPr>
            <w:r w:rsidRPr="00E02C17">
              <w:t>Proposed</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Adopted</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Russia</w:t>
            </w:r>
          </w:p>
        </w:tc>
        <w:tc>
          <w:tcPr>
            <w:tcW w:w="1515" w:type="dxa"/>
          </w:tcPr>
          <w:p w:rsidR="00E311BF" w:rsidRPr="00E02C17" w:rsidRDefault="00E311BF" w:rsidP="00DA47AA">
            <w:pPr>
              <w:pStyle w:val="BodyText"/>
              <w:spacing w:before="100" w:beforeAutospacing="1" w:after="100" w:afterAutospacing="1" w:line="240" w:lineRule="auto"/>
            </w:pPr>
            <w:r w:rsidRPr="00E02C17">
              <w:t>Consultation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Saudi Arabia</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Singapore</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South Africa</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FE52B0" w:rsidP="00DA47AA">
            <w:pPr>
              <w:pStyle w:val="BodyText"/>
              <w:spacing w:before="100" w:beforeAutospacing="1" w:after="100" w:afterAutospacing="1" w:line="240" w:lineRule="auto"/>
            </w:pPr>
            <w:r>
              <w:t>Consultation</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Switzerland</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Turkey</w:t>
            </w:r>
          </w:p>
        </w:tc>
        <w:tc>
          <w:tcPr>
            <w:tcW w:w="1515" w:type="dxa"/>
          </w:tcPr>
          <w:p w:rsidR="00E311BF" w:rsidRPr="00E02C17" w:rsidRDefault="00E311BF"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5" w:type="dxa"/>
          </w:tcPr>
          <w:p w:rsidR="00E311BF" w:rsidRPr="00E02C17" w:rsidRDefault="00105062"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c>
          <w:tcPr>
            <w:tcW w:w="1516" w:type="dxa"/>
          </w:tcPr>
          <w:p w:rsidR="00E311BF" w:rsidRPr="00E02C17" w:rsidRDefault="00105062" w:rsidP="00DA47AA">
            <w:pPr>
              <w:pStyle w:val="BodyText"/>
              <w:spacing w:before="100" w:beforeAutospacing="1" w:after="100" w:afterAutospacing="1" w:line="240" w:lineRule="auto"/>
            </w:pPr>
            <w:r w:rsidRPr="00E02C17">
              <w:t>No action</w:t>
            </w:r>
          </w:p>
        </w:tc>
      </w:tr>
      <w:tr w:rsidR="00E311BF" w:rsidRPr="00E02C17" w:rsidTr="00AB721A">
        <w:trPr>
          <w:trHeight w:val="288"/>
        </w:trPr>
        <w:tc>
          <w:tcPr>
            <w:tcW w:w="1998" w:type="dxa"/>
          </w:tcPr>
          <w:p w:rsidR="00E311BF" w:rsidRPr="00E02C17" w:rsidRDefault="00E311BF" w:rsidP="00DA47AA">
            <w:pPr>
              <w:pStyle w:val="BodyText"/>
              <w:spacing w:before="100" w:beforeAutospacing="1" w:after="100" w:afterAutospacing="1" w:line="240" w:lineRule="auto"/>
            </w:pPr>
            <w:r w:rsidRPr="00E02C17">
              <w:t>United States</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Effective</w:t>
            </w:r>
          </w:p>
        </w:tc>
        <w:tc>
          <w:tcPr>
            <w:tcW w:w="1515" w:type="dxa"/>
          </w:tcPr>
          <w:p w:rsidR="00E311BF" w:rsidRPr="00E02C17" w:rsidRDefault="00E311BF" w:rsidP="00DA47AA">
            <w:pPr>
              <w:pStyle w:val="BodyText"/>
              <w:spacing w:before="100" w:beforeAutospacing="1" w:after="100" w:afterAutospacing="1" w:line="240" w:lineRule="auto"/>
            </w:pPr>
            <w:r w:rsidRPr="00E02C17">
              <w:t>Effective</w:t>
            </w:r>
          </w:p>
        </w:tc>
        <w:tc>
          <w:tcPr>
            <w:tcW w:w="1516" w:type="dxa"/>
          </w:tcPr>
          <w:p w:rsidR="00E311BF" w:rsidRPr="00E02C17" w:rsidRDefault="00E311BF" w:rsidP="00DA47AA">
            <w:pPr>
              <w:pStyle w:val="BodyText"/>
              <w:spacing w:before="100" w:beforeAutospacing="1" w:after="100" w:afterAutospacing="1" w:line="240" w:lineRule="auto"/>
            </w:pPr>
            <w:r w:rsidRPr="00E02C17">
              <w:t>Adopted</w:t>
            </w:r>
          </w:p>
        </w:tc>
        <w:tc>
          <w:tcPr>
            <w:tcW w:w="1516" w:type="dxa"/>
          </w:tcPr>
          <w:p w:rsidR="00E311BF" w:rsidRPr="00E02C17" w:rsidRDefault="00E311BF" w:rsidP="00DA47AA">
            <w:pPr>
              <w:pStyle w:val="BodyText"/>
              <w:spacing w:before="100" w:beforeAutospacing="1" w:after="100" w:afterAutospacing="1" w:line="240" w:lineRule="auto"/>
            </w:pPr>
            <w:r w:rsidRPr="00E02C17">
              <w:t>Proposed</w:t>
            </w:r>
          </w:p>
        </w:tc>
      </w:tr>
    </w:tbl>
    <w:p w:rsidR="005B00BF" w:rsidRPr="00E02C17" w:rsidRDefault="005B00BF" w:rsidP="005B00BF">
      <w:pPr>
        <w:pStyle w:val="BodyText"/>
        <w:spacing w:before="0" w:after="0"/>
        <w:rPr>
          <w:sz w:val="18"/>
          <w:szCs w:val="18"/>
        </w:rPr>
      </w:pPr>
    </w:p>
    <w:p w:rsidR="005B00BF" w:rsidRPr="00400E2D" w:rsidRDefault="005B00BF" w:rsidP="005B00BF">
      <w:pPr>
        <w:pStyle w:val="BodyText"/>
        <w:spacing w:before="0" w:after="0"/>
        <w:rPr>
          <w:sz w:val="18"/>
          <w:szCs w:val="18"/>
        </w:rPr>
      </w:pPr>
      <w:r w:rsidRPr="00E02C17">
        <w:rPr>
          <w:sz w:val="18"/>
          <w:szCs w:val="18"/>
        </w:rPr>
        <w:t>Source: Financial Stability Board.</w:t>
      </w:r>
    </w:p>
    <w:p w:rsidR="005B00BF" w:rsidRPr="00400E2D" w:rsidRDefault="005B00BF" w:rsidP="005B00BF">
      <w:pPr>
        <w:pStyle w:val="BodyText"/>
        <w:spacing w:before="0" w:after="0"/>
        <w:rPr>
          <w:sz w:val="18"/>
          <w:szCs w:val="18"/>
        </w:rPr>
      </w:pPr>
    </w:p>
    <w:p w:rsidR="005B00BF" w:rsidRPr="00400E2D" w:rsidRDefault="005B00BF" w:rsidP="005B00BF">
      <w:pPr>
        <w:pStyle w:val="BodyText"/>
        <w:spacing w:before="0" w:after="240"/>
        <w:rPr>
          <w:sz w:val="18"/>
          <w:szCs w:val="18"/>
        </w:rPr>
      </w:pPr>
      <w:r w:rsidRPr="00400E2D">
        <w:rPr>
          <w:sz w:val="18"/>
          <w:szCs w:val="18"/>
        </w:rPr>
        <w:t xml:space="preserve">Notes: “No action” </w:t>
      </w:r>
      <w:r>
        <w:rPr>
          <w:sz w:val="18"/>
          <w:szCs w:val="18"/>
        </w:rPr>
        <w:t xml:space="preserve">means no action has been taken to date. </w:t>
      </w:r>
      <w:r w:rsidR="00AB721A">
        <w:rPr>
          <w:sz w:val="18"/>
          <w:szCs w:val="18"/>
        </w:rPr>
        <w:t xml:space="preserve">“N/A” means not applicable in a jurisdiction. “Consultation” means that official documents have been published for public consultation. “Proposed” means that draft regulations have been submitted through the appropriate process. “Adopted” means that final rules have been adopted in part or in full, and are enforceable. “Effective” means regulations are in force and operative for part or all of the market.  </w:t>
      </w:r>
    </w:p>
    <w:p w:rsidR="00DC7382" w:rsidRDefault="00DC7382" w:rsidP="006E6280">
      <w:pPr>
        <w:pStyle w:val="BodyText"/>
        <w:spacing w:before="0" w:after="240"/>
      </w:pPr>
    </w:p>
    <w:p w:rsidR="00F1195A" w:rsidRDefault="000F30A6" w:rsidP="006E6280">
      <w:pPr>
        <w:pStyle w:val="BodyText"/>
        <w:spacing w:before="0" w:after="240"/>
      </w:pPr>
      <w:r>
        <w:t xml:space="preserve">According to some </w:t>
      </w:r>
      <w:r w:rsidR="00BA0DC0" w:rsidRPr="00BA0DC0">
        <w:t>FSB member authorities</w:t>
      </w:r>
      <w:r>
        <w:t xml:space="preserve">, </w:t>
      </w:r>
      <w:r w:rsidR="00BA0DC0" w:rsidRPr="00BA0DC0">
        <w:t>resolution of cross-border issues continues to be the most s</w:t>
      </w:r>
      <w:r w:rsidR="00BA0DC0">
        <w:t>ignificant implementation issue</w:t>
      </w:r>
      <w:r>
        <w:t xml:space="preserve"> in light of </w:t>
      </w:r>
      <w:r w:rsidR="00BA0DC0">
        <w:t xml:space="preserve">the cross-border nature of OTC derivatives markets. Such issues include concerns about </w:t>
      </w:r>
      <w:r w:rsidR="00BA0DC0" w:rsidRPr="00BA0DC0">
        <w:t>jurisdictional scope, duplication</w:t>
      </w:r>
      <w:r w:rsidR="00BA0DC0">
        <w:t>,</w:t>
      </w:r>
      <w:r w:rsidR="00BA0DC0" w:rsidRPr="00BA0DC0">
        <w:t xml:space="preserve"> and lack of consistency and coordination in requirements. </w:t>
      </w:r>
      <w:r w:rsidR="00BA0DC0">
        <w:t>S</w:t>
      </w:r>
      <w:r w:rsidR="00BA0DC0" w:rsidRPr="00BA0DC0">
        <w:t>everal authorities noted that current inconsistency across regulatory requirements may reduce the prospects for equivalence or comparability determinations, which could create duplicative or overlapping regulation or opportunities for regulatory arbitrage.</w:t>
      </w:r>
      <w:r w:rsidR="00E00B17">
        <w:t xml:space="preserve"> According to FSB, </w:t>
      </w:r>
      <w:r>
        <w:t xml:space="preserve">in addition to </w:t>
      </w:r>
      <w:r w:rsidR="00E00B17" w:rsidRPr="00E00B17">
        <w:t>unilateral and bilateral actions being undertaken to resolve some of the cross-border issues,</w:t>
      </w:r>
      <w:r w:rsidR="00E15140" w:rsidRPr="00E15140">
        <w:t xml:space="preserve"> a group of market regulators </w:t>
      </w:r>
      <w:r>
        <w:t>(the OTC Derivatives Regulators Group) has</w:t>
      </w:r>
      <w:r w:rsidR="00E15140" w:rsidRPr="00E15140">
        <w:t xml:space="preserve"> been meeting multilaterally to </w:t>
      </w:r>
      <w:r>
        <w:t xml:space="preserve">address </w:t>
      </w:r>
      <w:r w:rsidR="00E15140" w:rsidRPr="00E15140">
        <w:t xml:space="preserve">a range of </w:t>
      </w:r>
      <w:r>
        <w:t xml:space="preserve">such </w:t>
      </w:r>
      <w:r w:rsidR="00E15140" w:rsidRPr="00E15140">
        <w:t xml:space="preserve">issues. </w:t>
      </w:r>
      <w:r w:rsidR="00D82619">
        <w:t>Other implementation issues</w:t>
      </w:r>
      <w:r w:rsidR="00834E71">
        <w:t xml:space="preserve"> </w:t>
      </w:r>
      <w:r w:rsidR="00BA0DC0">
        <w:t>include</w:t>
      </w:r>
      <w:r w:rsidR="00834E71">
        <w:t xml:space="preserve"> </w:t>
      </w:r>
      <w:r>
        <w:t xml:space="preserve">concerns about </w:t>
      </w:r>
      <w:r w:rsidR="00834E71">
        <w:t xml:space="preserve">the usability of data reported to </w:t>
      </w:r>
      <w:r w:rsidR="00BA0DC0">
        <w:t>trade repositories</w:t>
      </w:r>
      <w:r w:rsidR="00E15140" w:rsidRPr="00E15140">
        <w:t>.</w:t>
      </w:r>
      <w:r>
        <w:t xml:space="preserve"> S</w:t>
      </w:r>
      <w:r w:rsidR="00E15140">
        <w:t xml:space="preserve">ome </w:t>
      </w:r>
      <w:r w:rsidR="00E15140" w:rsidRPr="00E15140">
        <w:t xml:space="preserve">authorities are receiving </w:t>
      </w:r>
      <w:r w:rsidR="00E15140">
        <w:t xml:space="preserve">and using the </w:t>
      </w:r>
      <w:r w:rsidR="00E15140" w:rsidRPr="00E15140">
        <w:t xml:space="preserve">data, but inconsistencies in data fields and formats across trade repositories and in </w:t>
      </w:r>
      <w:r>
        <w:t xml:space="preserve">reporting </w:t>
      </w:r>
      <w:r w:rsidR="00E15140" w:rsidRPr="00E15140">
        <w:t>approaches have been identified as one of the challenges for aggregating and analyzing data (including at the individual jurisdiction level).</w:t>
      </w:r>
      <w:r w:rsidR="00D82619">
        <w:t xml:space="preserve"> </w:t>
      </w:r>
      <w:r w:rsidR="00BA0DC0">
        <w:t xml:space="preserve">In April 2014, the FSB Chairman </w:t>
      </w:r>
      <w:r>
        <w:t xml:space="preserve">reported </w:t>
      </w:r>
      <w:r w:rsidR="00BA0DC0">
        <w:t xml:space="preserve">that </w:t>
      </w:r>
      <w:r w:rsidR="00D82619">
        <w:t>at the upcoming G20 summit</w:t>
      </w:r>
      <w:r>
        <w:t xml:space="preserve"> in November 2014</w:t>
      </w:r>
      <w:r w:rsidR="00D82619">
        <w:t xml:space="preserve">, </w:t>
      </w:r>
      <w:r w:rsidR="00BA0DC0">
        <w:t>t</w:t>
      </w:r>
      <w:r w:rsidR="006E6280">
        <w:t xml:space="preserve">he OTC Derivatives Regulators Group </w:t>
      </w:r>
      <w:r w:rsidR="00D82619">
        <w:t xml:space="preserve">will </w:t>
      </w:r>
      <w:r w:rsidR="00BA0DC0">
        <w:t xml:space="preserve">report </w:t>
      </w:r>
      <w:r w:rsidR="006E6280">
        <w:t>on how it has resolved or intends to resolve the identified cross-border issues</w:t>
      </w:r>
      <w:r w:rsidR="0096149C">
        <w:t>,</w:t>
      </w:r>
      <w:r w:rsidR="006E6280">
        <w:t xml:space="preserve"> </w:t>
      </w:r>
      <w:r w:rsidR="00D82619">
        <w:t xml:space="preserve">and </w:t>
      </w:r>
      <w:r w:rsidR="006E6280">
        <w:t>FSB will report on how information from trade repositories can be aggregated and shared among authorities.</w:t>
      </w:r>
    </w:p>
    <w:p w:rsidR="007C647D" w:rsidRDefault="00A30981" w:rsidP="00346E4C">
      <w:pPr>
        <w:pStyle w:val="BodyText"/>
        <w:spacing w:before="0" w:after="240"/>
        <w:rPr>
          <w:u w:val="single"/>
        </w:rPr>
      </w:pPr>
      <w:r w:rsidRPr="007C647D">
        <w:rPr>
          <w:u w:val="single"/>
        </w:rPr>
        <w:t>Implementation of the G20 Reforms for Systemically Important Financial Institutions (SIFI)</w:t>
      </w:r>
    </w:p>
    <w:p w:rsidR="009D4234" w:rsidRDefault="00A30981" w:rsidP="0066789E">
      <w:pPr>
        <w:pStyle w:val="BodyText"/>
        <w:spacing w:before="0" w:after="240"/>
      </w:pPr>
      <w:r>
        <w:t xml:space="preserve">At the Pittsburgh Summit in 2009, G20 leaders called on FSB to propose measures to address the systemic and moral hazard risks associated with SIFIs. </w:t>
      </w:r>
      <w:r w:rsidRPr="00A30981">
        <w:t>The 2007-2009 financial crisis revealed weaknesses in the existing regulatory framework for overseeing SIFIs, which FSB defines as institutions of such size, market importance, and interconnectedness that their distress or disorderly failure could destabilize the financial system and result in severe economic consequences.</w:t>
      </w:r>
      <w:r>
        <w:t xml:space="preserve"> In 2010, FSB developed</w:t>
      </w:r>
      <w:r w:rsidR="0066789E">
        <w:t xml:space="preserve"> a SIFI framework that is designed to reduce</w:t>
      </w:r>
      <w:r w:rsidR="0066789E" w:rsidRPr="009D4234">
        <w:t xml:space="preserve"> the probability and impact of SIFIs failing</w:t>
      </w:r>
      <w:r w:rsidR="0066789E">
        <w:t xml:space="preserve">. </w:t>
      </w:r>
      <w:r w:rsidR="009D4234" w:rsidRPr="009D4234">
        <w:t xml:space="preserve">At the Seoul Summit in 2010 the G20 leaders </w:t>
      </w:r>
      <w:r w:rsidR="009D4234">
        <w:t>endorsed the framework</w:t>
      </w:r>
      <w:r w:rsidR="0066789E">
        <w:t>, which</w:t>
      </w:r>
      <w:r w:rsidR="009D4234">
        <w:t xml:space="preserve"> </w:t>
      </w:r>
      <w:r w:rsidR="0066789E">
        <w:t xml:space="preserve">includes </w:t>
      </w:r>
      <w:r w:rsidR="009D4234" w:rsidRPr="009D4234">
        <w:t xml:space="preserve">requirements </w:t>
      </w:r>
      <w:r w:rsidR="009D4234">
        <w:t xml:space="preserve">for (1) </w:t>
      </w:r>
      <w:r w:rsidR="009D4234" w:rsidRPr="009D4234">
        <w:t xml:space="preserve">assessing the systemic importance of institutions, </w:t>
      </w:r>
      <w:r w:rsidR="009D4234">
        <w:t xml:space="preserve">(2) </w:t>
      </w:r>
      <w:r w:rsidR="009D4234" w:rsidRPr="009D4234">
        <w:t>additional loss absorbency</w:t>
      </w:r>
      <w:r w:rsidR="009D4234">
        <w:t xml:space="preserve"> for SIFIs</w:t>
      </w:r>
      <w:r w:rsidR="009D4234" w:rsidRPr="009D4234">
        <w:t xml:space="preserve">, </w:t>
      </w:r>
      <w:r w:rsidR="009D4234">
        <w:t xml:space="preserve">(3) </w:t>
      </w:r>
      <w:r w:rsidR="009D4234" w:rsidRPr="009D4234">
        <w:t xml:space="preserve">more effective resolution mechanisms, and </w:t>
      </w:r>
      <w:r w:rsidR="009D4234">
        <w:t>(</w:t>
      </w:r>
      <w:r w:rsidR="00191270">
        <w:t>4</w:t>
      </w:r>
      <w:r w:rsidR="009D4234">
        <w:t xml:space="preserve">) </w:t>
      </w:r>
      <w:r w:rsidR="009D4234" w:rsidRPr="009D4234">
        <w:t>stronger financial market infrastructure.</w:t>
      </w:r>
    </w:p>
    <w:p w:rsidR="009D4234" w:rsidRPr="00395F63" w:rsidRDefault="00FE1356" w:rsidP="00FE1356">
      <w:pPr>
        <w:pStyle w:val="BodyText"/>
        <w:spacing w:before="0" w:after="240"/>
        <w:ind w:left="720"/>
        <w:rPr>
          <w:u w:val="single"/>
        </w:rPr>
      </w:pPr>
      <w:r w:rsidRPr="00395F63">
        <w:rPr>
          <w:u w:val="single"/>
        </w:rPr>
        <w:t>Designation of SIFIs</w:t>
      </w:r>
    </w:p>
    <w:p w:rsidR="000421BD" w:rsidRDefault="00FE1356" w:rsidP="007C647D">
      <w:pPr>
        <w:pStyle w:val="BodyText"/>
        <w:spacing w:before="0" w:after="240"/>
      </w:pPr>
      <w:r>
        <w:t xml:space="preserve">The first step in implementing the </w:t>
      </w:r>
      <w:r w:rsidRPr="00FE1356">
        <w:t xml:space="preserve">SIFI </w:t>
      </w:r>
      <w:r>
        <w:t>f</w:t>
      </w:r>
      <w:r w:rsidRPr="00FE1356">
        <w:t xml:space="preserve">ramework </w:t>
      </w:r>
      <w:r>
        <w:t xml:space="preserve">is identifying and designating </w:t>
      </w:r>
      <w:r w:rsidR="000421BD">
        <w:t xml:space="preserve">global </w:t>
      </w:r>
      <w:r>
        <w:t xml:space="preserve">SIFIs. </w:t>
      </w:r>
      <w:r w:rsidRPr="00FE1356">
        <w:t>FSB</w:t>
      </w:r>
      <w:r w:rsidR="000421BD">
        <w:t xml:space="preserve"> and national authorities—in consultation with the Basel Committee, International Association of Insurance Supervisors (IAIS), and IOSCO—have developed and applied methodologies to designate global SIFIs.  </w:t>
      </w:r>
    </w:p>
    <w:p w:rsidR="00FE1356" w:rsidRDefault="000421BD" w:rsidP="00CF4C42">
      <w:pPr>
        <w:pStyle w:val="BodyText"/>
        <w:numPr>
          <w:ilvl w:val="0"/>
          <w:numId w:val="37"/>
        </w:numPr>
        <w:spacing w:before="0" w:after="240"/>
      </w:pPr>
      <w:r>
        <w:t xml:space="preserve">In November 2013, </w:t>
      </w:r>
      <w:r w:rsidR="00FE1356" w:rsidRPr="00FE1356">
        <w:t xml:space="preserve">FSB published </w:t>
      </w:r>
      <w:r>
        <w:t xml:space="preserve">an </w:t>
      </w:r>
      <w:r w:rsidR="00FE1356" w:rsidRPr="00FE1356">
        <w:t>updated annual list of global systemically important banks (G-SIB), which generally comprise the largest and most complex internationally active banks.</w:t>
      </w:r>
      <w:r w:rsidR="00FE1356">
        <w:t xml:space="preserve"> T</w:t>
      </w:r>
      <w:r w:rsidR="00FE1356" w:rsidRPr="00FE1356">
        <w:t xml:space="preserve">he 29 G-SIBs </w:t>
      </w:r>
      <w:r w:rsidR="005D409A">
        <w:t xml:space="preserve">are </w:t>
      </w:r>
      <w:r w:rsidR="00FE1356" w:rsidRPr="00FE1356">
        <w:t xml:space="preserve">headquartered in 11 countries: 8 in the United States; 4 each in France and the United Kingdom; 3 in Japan; 2 each in China, Spain, and Switzerland; and 1 each in Germany, Italy, Netherlands, and Sweden. G-SIBs are grouped into one of five buckets based on their systemic importance, which correspond to increasing levels of additional loss absorbency requirements. The requirements are to be </w:t>
      </w:r>
      <w:r w:rsidR="00CF4C42">
        <w:t xml:space="preserve">implemented </w:t>
      </w:r>
      <w:r w:rsidR="00FE1356" w:rsidRPr="00FE1356">
        <w:t>by jurisdictions and phased in from January 2016, with full i</w:t>
      </w:r>
      <w:r w:rsidR="00FE1356">
        <w:t>mplementation by January 2019.</w:t>
      </w:r>
    </w:p>
    <w:p w:rsidR="00CF4C42" w:rsidRDefault="00CF4C42" w:rsidP="00FE1356">
      <w:pPr>
        <w:pStyle w:val="BodyText"/>
        <w:numPr>
          <w:ilvl w:val="0"/>
          <w:numId w:val="37"/>
        </w:numPr>
        <w:spacing w:before="0" w:after="240"/>
      </w:pPr>
      <w:r>
        <w:t>I</w:t>
      </w:r>
      <w:r w:rsidR="00FE1356">
        <w:t>n response to a request by the G20 leaders, FSB extended the SIFI framework to domestic systemically important banks</w:t>
      </w:r>
      <w:r>
        <w:t xml:space="preserve"> (D-SIB)</w:t>
      </w:r>
      <w:r w:rsidR="00FE1356">
        <w:t xml:space="preserve">. In October 2012, the Basel Committee issued its framework for dealing with such banks, which focuses on the impact that the distress or failure of banks will have on </w:t>
      </w:r>
      <w:r w:rsidR="0096149C">
        <w:t xml:space="preserve">a </w:t>
      </w:r>
      <w:r w:rsidR="00FE1356">
        <w:t>domestic economy.</w:t>
      </w:r>
    </w:p>
    <w:p w:rsidR="00CF4C42" w:rsidRDefault="00FE1356" w:rsidP="00FE1356">
      <w:pPr>
        <w:pStyle w:val="BodyText"/>
        <w:numPr>
          <w:ilvl w:val="0"/>
          <w:numId w:val="37"/>
        </w:numPr>
        <w:spacing w:before="0" w:after="240"/>
      </w:pPr>
      <w:r>
        <w:t xml:space="preserve">In July 2013, FSB, in consultation with IAIS and national authorities, identified nine insurers as </w:t>
      </w:r>
      <w:r w:rsidR="00CF4C42">
        <w:t>G-SIIs</w:t>
      </w:r>
      <w:r>
        <w:t>, which will be subject to a set of policy measures consi</w:t>
      </w:r>
      <w:r w:rsidR="00CF4C42">
        <w:t>stent with the SIFI framework.</w:t>
      </w:r>
      <w:r w:rsidR="005D409A">
        <w:t xml:space="preserve"> The nine G-SIIs are headquartered in six countries: 3 in the United States, 2 in the United Kingdom, and 1 each in China, France, Germany, and Italy. </w:t>
      </w:r>
    </w:p>
    <w:p w:rsidR="00FE1356" w:rsidRDefault="00FE1356" w:rsidP="007C647D">
      <w:pPr>
        <w:pStyle w:val="BodyText"/>
        <w:numPr>
          <w:ilvl w:val="0"/>
          <w:numId w:val="37"/>
        </w:numPr>
        <w:spacing w:before="0" w:after="240"/>
      </w:pPr>
      <w:r>
        <w:t>FSB, in consultation with IOSCO, developed draft methodologies to</w:t>
      </w:r>
      <w:r w:rsidR="00CF4C42">
        <w:t xml:space="preserve"> </w:t>
      </w:r>
      <w:r w:rsidR="00CF4C42" w:rsidRPr="00CF4C42">
        <w:t>identify nonbank, noninsurance G-SIFIs, which were issued for public consultation in January 2014.</w:t>
      </w:r>
    </w:p>
    <w:p w:rsidR="00CA2EC1" w:rsidRDefault="00CA2EC1" w:rsidP="00EA4DAE">
      <w:pPr>
        <w:pStyle w:val="BodyText"/>
        <w:spacing w:before="0" w:after="240"/>
        <w:ind w:left="720"/>
        <w:rPr>
          <w:u w:val="single"/>
        </w:rPr>
      </w:pPr>
    </w:p>
    <w:p w:rsidR="00EA4DAE" w:rsidRPr="00395F63" w:rsidRDefault="00EA4DAE" w:rsidP="00EA4DAE">
      <w:pPr>
        <w:pStyle w:val="BodyText"/>
        <w:spacing w:before="0" w:after="240"/>
        <w:ind w:left="720"/>
        <w:rPr>
          <w:u w:val="single"/>
        </w:rPr>
      </w:pPr>
      <w:r w:rsidRPr="00395F63">
        <w:rPr>
          <w:u w:val="single"/>
        </w:rPr>
        <w:t>Resolution Regimes</w:t>
      </w:r>
    </w:p>
    <w:p w:rsidR="0096149C" w:rsidRDefault="0066789E" w:rsidP="00536FF9">
      <w:pPr>
        <w:pStyle w:val="BodyText"/>
        <w:spacing w:before="0" w:after="240"/>
      </w:pPr>
      <w:r w:rsidRPr="0066789E">
        <w:t>At t</w:t>
      </w:r>
      <w:r>
        <w:t>he Cannes Summit in 2011, the G</w:t>
      </w:r>
      <w:r w:rsidRPr="0066789E">
        <w:t xml:space="preserve">20 </w:t>
      </w:r>
      <w:r>
        <w:t xml:space="preserve">leaders </w:t>
      </w:r>
      <w:r w:rsidRPr="0066789E">
        <w:t xml:space="preserve">endorsed </w:t>
      </w:r>
      <w:r>
        <w:t xml:space="preserve">FSB’s </w:t>
      </w:r>
      <w:r w:rsidRPr="0066789E">
        <w:t>Key Attributes of Effective Resolution Regimes for Financial Institutions (“Key Attributes”) as a new international standard for resolution.</w:t>
      </w:r>
      <w:r>
        <w:t xml:space="preserve"> </w:t>
      </w:r>
      <w:r w:rsidR="000F30A6" w:rsidRPr="000F30A6">
        <w:t>In April 2013</w:t>
      </w:r>
      <w:r w:rsidR="00EA4DAE">
        <w:t xml:space="preserve">, </w:t>
      </w:r>
      <w:r w:rsidR="000F30A6" w:rsidRPr="000F30A6">
        <w:t>FSB reported that some of its member jurisdictions developed new or revised existing resolution regimes.</w:t>
      </w:r>
      <w:r w:rsidR="009978C3">
        <w:t xml:space="preserve"> </w:t>
      </w:r>
      <w:r w:rsidR="000F30A6" w:rsidRPr="000F30A6">
        <w:t>For example, FSB noted that the United States has implemented a new resolution regime—referred to as Orderly Liquidation Authority</w:t>
      </w:r>
      <w:r>
        <w:t xml:space="preserve"> (</w:t>
      </w:r>
      <w:r w:rsidR="000F30A6" w:rsidRPr="000F30A6">
        <w:t>OLA)—aligned with FSB’s key attributes through its passage of the Dodd-Frank Act. OLA includes broad authorities to wind-up failing financial companies that meet certain systemic criteria. FSB also noted that Australia, Germany, Mexico, Netherlands, Spain, Switzerland, and the United Kingdom have amended their resolution regimes through</w:t>
      </w:r>
      <w:r w:rsidR="00EA4DAE">
        <w:t xml:space="preserve"> </w:t>
      </w:r>
      <w:r w:rsidR="00EA4DAE" w:rsidRPr="00EA4DAE">
        <w:t>legislative changes.</w:t>
      </w:r>
    </w:p>
    <w:p w:rsidR="00536FF9" w:rsidRDefault="00EA4DAE" w:rsidP="00536FF9">
      <w:pPr>
        <w:pStyle w:val="BodyText"/>
        <w:spacing w:before="0" w:after="240"/>
      </w:pPr>
      <w:r w:rsidRPr="00EA4DAE">
        <w:t xml:space="preserve">At the same time, FSB noted that many of its member jurisdictions need to take further legislative measures to implement the </w:t>
      </w:r>
      <w:r w:rsidR="0096149C">
        <w:t>K</w:t>
      </w:r>
      <w:r w:rsidRPr="00EA4DAE">
        <w:t xml:space="preserve">ey </w:t>
      </w:r>
      <w:r w:rsidR="0096149C">
        <w:t>A</w:t>
      </w:r>
      <w:r w:rsidRPr="00EA4DAE">
        <w:t>ttributes fully in substance and scope</w:t>
      </w:r>
      <w:r w:rsidR="0096149C" w:rsidRPr="00536FF9">
        <w:t>–in particular, the adoption of bail-in powers, powers for cross-border cooperation, and the recognition of foreign resolution actions.</w:t>
      </w:r>
      <w:r w:rsidRPr="00EA4DAE">
        <w:t xml:space="preserve"> In September 2013, FSB </w:t>
      </w:r>
      <w:r w:rsidR="0066789E">
        <w:t xml:space="preserve">reported </w:t>
      </w:r>
      <w:r w:rsidRPr="00EA4DAE">
        <w:t xml:space="preserve">that it will coordinate with IMF, the World Bank, and international standard setting bodies to finalize a methodology to assess implementation of the </w:t>
      </w:r>
      <w:r w:rsidR="0096149C">
        <w:t>K</w:t>
      </w:r>
      <w:r w:rsidRPr="00EA4DAE">
        <w:t xml:space="preserve">ey </w:t>
      </w:r>
      <w:r w:rsidR="0096149C">
        <w:t>A</w:t>
      </w:r>
      <w:r w:rsidRPr="00EA4DAE">
        <w:t>ttributes at the national level for use by IMF and the World Bank in their Standards and Codes Initiative.</w:t>
      </w:r>
      <w:r w:rsidR="00536FF9">
        <w:t xml:space="preserve"> </w:t>
      </w:r>
    </w:p>
    <w:p w:rsidR="00E02C0F" w:rsidRPr="00A25B5E" w:rsidRDefault="00E02C0F" w:rsidP="00E02C0F">
      <w:pPr>
        <w:pStyle w:val="BodyText"/>
        <w:spacing w:before="0" w:after="240"/>
        <w:ind w:left="360"/>
        <w:rPr>
          <w:u w:val="single"/>
          <w:lang w:val="fr-FR"/>
        </w:rPr>
      </w:pPr>
      <w:proofErr w:type="spellStart"/>
      <w:r w:rsidRPr="00A25B5E">
        <w:rPr>
          <w:u w:val="single"/>
          <w:lang w:val="fr-FR"/>
        </w:rPr>
        <w:t>Core</w:t>
      </w:r>
      <w:proofErr w:type="spellEnd"/>
      <w:r w:rsidRPr="00A25B5E">
        <w:rPr>
          <w:u w:val="single"/>
          <w:lang w:val="fr-FR"/>
        </w:rPr>
        <w:t xml:space="preserve"> Financial </w:t>
      </w:r>
      <w:proofErr w:type="spellStart"/>
      <w:r w:rsidRPr="00A25B5E">
        <w:rPr>
          <w:u w:val="single"/>
          <w:lang w:val="fr-FR"/>
        </w:rPr>
        <w:t>Market</w:t>
      </w:r>
      <w:proofErr w:type="spellEnd"/>
      <w:r w:rsidRPr="00A25B5E">
        <w:rPr>
          <w:u w:val="single"/>
          <w:lang w:val="fr-FR"/>
        </w:rPr>
        <w:t xml:space="preserve"> Infrastructures (FMI)</w:t>
      </w:r>
    </w:p>
    <w:p w:rsidR="00E02C0F" w:rsidRDefault="00E02C0F" w:rsidP="00E02C0F">
      <w:pPr>
        <w:pStyle w:val="BodyText"/>
        <w:spacing w:before="0" w:after="240"/>
      </w:pPr>
      <w:r>
        <w:t xml:space="preserve">FMIs will have an increasingly important role in global and national financial markets going forward. In particular, reforms to require all standardized OTC derivatives to be centrally cleared reinforce the importance of strong safeguards and consistent oversight of the central </w:t>
      </w:r>
      <w:r w:rsidR="003155C5">
        <w:t xml:space="preserve">clearing </w:t>
      </w:r>
      <w:r>
        <w:t>counterparties (CCP) for derivatives. Central clearing also is becoming increasingly common in the settlement of money market transactions, such as repos. The CPSS-IOSCO Principles for Financial Market Infrastructures (PFMIs), issued in April 2012, contain new and more demanding international standards for payment, clearing</w:t>
      </w:r>
      <w:r w:rsidR="0096149C">
        <w:t>, and settlement systems</w:t>
      </w:r>
      <w:r>
        <w:t xml:space="preserve">. </w:t>
      </w:r>
    </w:p>
    <w:p w:rsidR="0004494C" w:rsidRDefault="00E02C0F" w:rsidP="00E02C0F">
      <w:pPr>
        <w:pStyle w:val="BodyText"/>
        <w:spacing w:before="0" w:after="240"/>
      </w:pPr>
      <w:r w:rsidRPr="00E02C0F">
        <w:t>In light of the move towards mandatory central clearing of OTC derivatives, all jurisdictions with systemically important CCP</w:t>
      </w:r>
      <w:r>
        <w:t>s</w:t>
      </w:r>
      <w:r w:rsidRPr="00E02C0F">
        <w:t xml:space="preserve"> must have in place powers to resolve them. FSB, in conjunction with standard-setting bodies, is developing guidance on how the Key Attributes should be interpreted and implemented with respect to the resolution of CCPs and other financial market infrastructures.</w:t>
      </w:r>
      <w:r>
        <w:t xml:space="preserve"> In August 2013, </w:t>
      </w:r>
      <w:r w:rsidRPr="00E02C0F">
        <w:t>CPSS/IOSCO published a consultative report on FMI recovery</w:t>
      </w:r>
      <w:r>
        <w:t xml:space="preserve"> and</w:t>
      </w:r>
      <w:r w:rsidRPr="00E02C0F">
        <w:t xml:space="preserve"> FSB published its consultat</w:t>
      </w:r>
      <w:r>
        <w:t>ion on the resolution of FMIs</w:t>
      </w:r>
      <w:r w:rsidR="00ED4E26">
        <w:t>.</w:t>
      </w:r>
    </w:p>
    <w:p w:rsidR="00E02C0F" w:rsidRPr="00E02C0F" w:rsidRDefault="00E02C0F" w:rsidP="00CA2EC1">
      <w:pPr>
        <w:pStyle w:val="BodyText"/>
        <w:spacing w:before="0" w:after="240"/>
        <w:ind w:firstLine="360"/>
        <w:rPr>
          <w:u w:val="single"/>
        </w:rPr>
      </w:pPr>
      <w:r w:rsidRPr="00E02C0F">
        <w:rPr>
          <w:u w:val="single"/>
        </w:rPr>
        <w:t>Shadow Banking Reforms</w:t>
      </w:r>
    </w:p>
    <w:p w:rsidR="00ED4E26" w:rsidRDefault="00ED4E26" w:rsidP="00ED4E26">
      <w:pPr>
        <w:pStyle w:val="BodyText"/>
        <w:spacing w:before="0" w:after="240"/>
      </w:pPr>
      <w:r>
        <w:t xml:space="preserve">At the 2011 Summit meeting in Cannes, the G20 leaders agreed to develop policies to deal with the fault lines exposed by the financial crisis in </w:t>
      </w:r>
      <w:r w:rsidR="00494CC7">
        <w:t xml:space="preserve">the </w:t>
      </w:r>
      <w:r>
        <w:t>part of the financial system that extends credit but is outside the regular banking sector, the so-called “shadow banking system.” Those fault lines centered on short-term wholesale funding, a variety of incentives problems in securitization, and a general lack of transparency that hid growing amounts of leverage and mismatch between long-term credit extension and short-term funding. In August 2013, FSB set out its approach to address</w:t>
      </w:r>
      <w:r w:rsidRPr="00ED4E26">
        <w:t xml:space="preserve"> financial stability concerns associated with shadow banking</w:t>
      </w:r>
      <w:r w:rsidR="00FC29C5">
        <w:t xml:space="preserve">. It </w:t>
      </w:r>
      <w:r>
        <w:t>has focused on five specific areas:</w:t>
      </w:r>
    </w:p>
    <w:p w:rsidR="00FC29C5" w:rsidRDefault="00DC7382" w:rsidP="00ED4E26">
      <w:pPr>
        <w:pStyle w:val="BodyText"/>
        <w:numPr>
          <w:ilvl w:val="0"/>
          <w:numId w:val="38"/>
        </w:numPr>
        <w:spacing w:before="0" w:after="240"/>
      </w:pPr>
      <w:r>
        <w:t>Mitigate the spill</w:t>
      </w:r>
      <w:r w:rsidR="00ED4E26">
        <w:t>over effect between the banking and shadow banking system</w:t>
      </w:r>
      <w:r w:rsidR="00494CC7">
        <w:t>s</w:t>
      </w:r>
      <w:r w:rsidR="00FC29C5">
        <w:t>, and the Basel Committee is developing proposals to address this issue;</w:t>
      </w:r>
    </w:p>
    <w:p w:rsidR="005C070D" w:rsidRDefault="00FC29C5" w:rsidP="00FC29C5">
      <w:pPr>
        <w:pStyle w:val="BodyText"/>
        <w:numPr>
          <w:ilvl w:val="0"/>
          <w:numId w:val="38"/>
        </w:numPr>
        <w:spacing w:before="0" w:after="240"/>
      </w:pPr>
      <w:r>
        <w:t xml:space="preserve">Reduce the susceptibility of money market funds to “runs,” </w:t>
      </w:r>
      <w:r w:rsidR="005C070D">
        <w:t>and IOSCO is finalizing policy recommendations on this issue and plans to conduct a related peer review;</w:t>
      </w:r>
    </w:p>
    <w:p w:rsidR="005C070D" w:rsidRDefault="00FC29C5" w:rsidP="00FC29C5">
      <w:pPr>
        <w:pStyle w:val="BodyText"/>
        <w:numPr>
          <w:ilvl w:val="0"/>
          <w:numId w:val="38"/>
        </w:numPr>
        <w:spacing w:before="0" w:after="240"/>
      </w:pPr>
      <w:r>
        <w:t>Assess and align the incentives associated with securiti</w:t>
      </w:r>
      <w:r w:rsidR="005C070D">
        <w:t>z</w:t>
      </w:r>
      <w:r>
        <w:t>ation</w:t>
      </w:r>
      <w:r w:rsidR="005C070D">
        <w:t xml:space="preserve">, and IOSCO is finalizing </w:t>
      </w:r>
      <w:r>
        <w:t>policy recommendations</w:t>
      </w:r>
      <w:r w:rsidR="005C070D">
        <w:t xml:space="preserve"> on this issue and plans to conduct a related peer review; </w:t>
      </w:r>
    </w:p>
    <w:p w:rsidR="005C070D" w:rsidRDefault="00FC29C5" w:rsidP="005C070D">
      <w:pPr>
        <w:pStyle w:val="BodyText"/>
        <w:numPr>
          <w:ilvl w:val="0"/>
          <w:numId w:val="38"/>
        </w:numPr>
        <w:spacing w:before="0" w:after="240"/>
      </w:pPr>
      <w:r>
        <w:t>Dampen fi</w:t>
      </w:r>
      <w:r w:rsidR="002B4A9A">
        <w:t xml:space="preserve">nancial stability risks and </w:t>
      </w:r>
      <w:proofErr w:type="spellStart"/>
      <w:r w:rsidR="002B4A9A">
        <w:t>pro</w:t>
      </w:r>
      <w:r>
        <w:t>cyclical</w:t>
      </w:r>
      <w:proofErr w:type="spellEnd"/>
      <w:r>
        <w:t xml:space="preserve"> incentives associated with securities financing transactions</w:t>
      </w:r>
      <w:r w:rsidR="005C070D">
        <w:t>,</w:t>
      </w:r>
      <w:r>
        <w:t xml:space="preserve"> such as repos and securities lending</w:t>
      </w:r>
      <w:r w:rsidR="005C070D">
        <w:t>,</w:t>
      </w:r>
      <w:r>
        <w:t xml:space="preserve"> that may exacerbate funding strains in times of market stress</w:t>
      </w:r>
      <w:r w:rsidR="005C070D">
        <w:t xml:space="preserve">, and </w:t>
      </w:r>
      <w:r>
        <w:t xml:space="preserve">FSB issued a </w:t>
      </w:r>
      <w:r w:rsidR="005C070D">
        <w:t>policy framework on this issue; and</w:t>
      </w:r>
    </w:p>
    <w:p w:rsidR="005C070D" w:rsidRDefault="005C070D" w:rsidP="005C070D">
      <w:pPr>
        <w:pStyle w:val="BodyText"/>
        <w:numPr>
          <w:ilvl w:val="0"/>
          <w:numId w:val="38"/>
        </w:numPr>
        <w:spacing w:before="0" w:after="240"/>
      </w:pPr>
      <w:r>
        <w:t>Assess and mitigate systemic risks posed by other shadow banking entities and activities</w:t>
      </w:r>
      <w:r w:rsidR="003125EC">
        <w:t xml:space="preserve">, and FSB has </w:t>
      </w:r>
      <w:r>
        <w:t xml:space="preserve">developed </w:t>
      </w:r>
      <w:r w:rsidR="003125EC">
        <w:t xml:space="preserve">a </w:t>
      </w:r>
      <w:r>
        <w:t>high-level policy framework to detect and address sources of financial stability risks from shadow banking.</w:t>
      </w:r>
    </w:p>
    <w:p w:rsidR="00E02C0F" w:rsidRDefault="003125EC" w:rsidP="005C070D">
      <w:pPr>
        <w:pStyle w:val="BodyText"/>
        <w:spacing w:before="0" w:after="240"/>
      </w:pPr>
      <w:r w:rsidRPr="003125EC">
        <w:t>FSB, in coordination with the standard-setting bodies, will monit</w:t>
      </w:r>
      <w:r>
        <w:t xml:space="preserve">or the implementation of finalized policy recommendations and </w:t>
      </w:r>
      <w:r w:rsidRPr="003125EC">
        <w:t>will report on the progress to the G20 in November 2014.</w:t>
      </w:r>
    </w:p>
    <w:p w:rsidR="007C647D" w:rsidRDefault="00A30981" w:rsidP="00CA2EC1">
      <w:pPr>
        <w:pStyle w:val="BodyText"/>
        <w:spacing w:before="0" w:after="240"/>
        <w:ind w:firstLine="360"/>
      </w:pPr>
      <w:r w:rsidRPr="007C647D">
        <w:rPr>
          <w:u w:val="single"/>
        </w:rPr>
        <w:t>Implementation of Other Reforms</w:t>
      </w:r>
    </w:p>
    <w:p w:rsidR="0070371F" w:rsidRDefault="00C15CAD" w:rsidP="007C647D">
      <w:pPr>
        <w:pStyle w:val="BodyText"/>
        <w:spacing w:before="0" w:after="240"/>
      </w:pPr>
      <w:r>
        <w:t xml:space="preserve">FSB has identified the aforementioned reforms as priority areas based on </w:t>
      </w:r>
      <w:r w:rsidRPr="00C15CAD">
        <w:t>their importance to global financial stability</w:t>
      </w:r>
      <w:r>
        <w:t xml:space="preserve">. Those reforms </w:t>
      </w:r>
      <w:r w:rsidRPr="00C15CAD">
        <w:t>undergo more intensive monitoring and detailed reporting</w:t>
      </w:r>
      <w:r>
        <w:t xml:space="preserve"> by FSB or a standard setting body. In addition to the priority area reforms, there are a broad range of other G20 financial reforms. </w:t>
      </w:r>
      <w:r w:rsidR="007A473D" w:rsidRPr="007A473D">
        <w:t>FSB monitors the implementation of the</w:t>
      </w:r>
      <w:r>
        <w:t>se</w:t>
      </w:r>
      <w:r w:rsidR="007A473D" w:rsidRPr="007A473D">
        <w:t xml:space="preserve"> reforms </w:t>
      </w:r>
      <w:r>
        <w:t xml:space="preserve">but </w:t>
      </w:r>
      <w:r w:rsidR="007A473D" w:rsidRPr="007A473D">
        <w:t>less intensively—primarily through annual surveys of its members.</w:t>
      </w:r>
      <w:r w:rsidR="007A473D">
        <w:t xml:space="preserve"> </w:t>
      </w:r>
      <w:r w:rsidR="0070371F" w:rsidRPr="0070371F">
        <w:t xml:space="preserve">As shown on table </w:t>
      </w:r>
      <w:r w:rsidR="0070371F">
        <w:t>3</w:t>
      </w:r>
      <w:r w:rsidR="0070371F" w:rsidRPr="0070371F">
        <w:t xml:space="preserve">, implementation of </w:t>
      </w:r>
      <w:r>
        <w:t>these reforms varies</w:t>
      </w:r>
      <w:r w:rsidR="00826241">
        <w:t xml:space="preserve"> as of August 2013 (the most recently available data)</w:t>
      </w:r>
      <w:r>
        <w:t xml:space="preserve">. </w:t>
      </w:r>
      <w:r w:rsidR="0070371F" w:rsidRPr="0070371F">
        <w:t>All FSB members reported that they implemented or have been implementing 15 of the commitments</w:t>
      </w:r>
      <w:r>
        <w:t>, including</w:t>
      </w:r>
      <w:r w:rsidR="0070371F" w:rsidRPr="0070371F">
        <w:t xml:space="preserve"> strengthen</w:t>
      </w:r>
      <w:r>
        <w:t>ing</w:t>
      </w:r>
      <w:r w:rsidR="0070371F" w:rsidRPr="0070371F">
        <w:t xml:space="preserve"> oversight of shadow banking, register</w:t>
      </w:r>
      <w:r>
        <w:t>ing</w:t>
      </w:r>
      <w:r w:rsidR="0070371F" w:rsidRPr="0070371F">
        <w:t xml:space="preserve"> hedge funds, </w:t>
      </w:r>
      <w:r>
        <w:t xml:space="preserve">and regulating </w:t>
      </w:r>
      <w:r w:rsidR="0070371F" w:rsidRPr="0070371F">
        <w:t xml:space="preserve">credit rating agencies. In contrast, one or more FSB members reported </w:t>
      </w:r>
      <w:r>
        <w:t xml:space="preserve">taking </w:t>
      </w:r>
      <w:r w:rsidR="0070371F" w:rsidRPr="0070371F">
        <w:t xml:space="preserve">no action to implement 11 </w:t>
      </w:r>
      <w:proofErr w:type="spellStart"/>
      <w:r w:rsidR="0070371F" w:rsidRPr="0070371F">
        <w:t>nonpriority</w:t>
      </w:r>
      <w:proofErr w:type="spellEnd"/>
      <w:r w:rsidR="0070371F" w:rsidRPr="0070371F">
        <w:t xml:space="preserve"> commitments, which include strengthening supervisory requirements for inve</w:t>
      </w:r>
      <w:r w:rsidR="00395F63">
        <w:t xml:space="preserve">stment in structured products, </w:t>
      </w:r>
      <w:r w:rsidR="0070371F" w:rsidRPr="0070371F">
        <w:t>strengthening national deposit insurance arrangements, and enhancing market transparency in commodity markets.</w:t>
      </w:r>
    </w:p>
    <w:p w:rsidR="0070371F" w:rsidRPr="0015503C" w:rsidRDefault="0070371F" w:rsidP="0015503C">
      <w:pPr>
        <w:spacing w:after="240"/>
        <w:rPr>
          <w:b/>
          <w:sz w:val="20"/>
          <w:vertAlign w:val="superscript"/>
        </w:rPr>
      </w:pPr>
      <w:r w:rsidRPr="00E83C81">
        <w:rPr>
          <w:b/>
          <w:sz w:val="20"/>
        </w:rPr>
        <w:t xml:space="preserve">Table </w:t>
      </w:r>
      <w:r>
        <w:rPr>
          <w:b/>
          <w:sz w:val="20"/>
        </w:rPr>
        <w:t>3</w:t>
      </w:r>
      <w:r w:rsidRPr="00E83C81">
        <w:rPr>
          <w:b/>
          <w:sz w:val="20"/>
        </w:rPr>
        <w:t>: Implementation Status of the G20 Financial Reform Commitments in the Non-Priority Areas as Reported by the United States and Other FSB Member Jurisdictions, as of August 2013</w:t>
      </w:r>
      <w:r w:rsidRPr="00E83C81">
        <w:rPr>
          <w:b/>
          <w:sz w:val="20"/>
          <w:vertAlign w:val="superscript"/>
        </w:rPr>
        <w:t>a</w:t>
      </w:r>
    </w:p>
    <w:tbl>
      <w:tblPr>
        <w:tblStyle w:val="GAOTable"/>
        <w:tblW w:w="5000" w:type="pct"/>
        <w:tblLook w:val="04A0"/>
      </w:tblPr>
      <w:tblGrid>
        <w:gridCol w:w="2280"/>
        <w:gridCol w:w="2852"/>
        <w:gridCol w:w="1517"/>
        <w:gridCol w:w="1105"/>
        <w:gridCol w:w="1061"/>
        <w:gridCol w:w="661"/>
      </w:tblGrid>
      <w:tr w:rsidR="0070371F" w:rsidRPr="00E83C81" w:rsidTr="0070371F">
        <w:trPr>
          <w:trHeight w:val="530"/>
          <w:tblHeader/>
        </w:trPr>
        <w:tc>
          <w:tcPr>
            <w:tcW w:w="2708" w:type="pct"/>
            <w:gridSpan w:val="2"/>
          </w:tcPr>
          <w:p w:rsidR="0070371F" w:rsidRPr="00E83C81" w:rsidRDefault="0070371F" w:rsidP="001112E2">
            <w:pPr>
              <w:spacing w:before="100" w:beforeAutospacing="1" w:after="100" w:afterAutospacing="1"/>
              <w:rPr>
                <w:b/>
                <w:bCs/>
              </w:rPr>
            </w:pPr>
            <w:r w:rsidRPr="00E83C81">
              <w:rPr>
                <w:b/>
                <w:bCs/>
              </w:rPr>
              <w:t>G20 Financial Reform Areas and Objectives</w:t>
            </w:r>
          </w:p>
        </w:tc>
        <w:tc>
          <w:tcPr>
            <w:tcW w:w="800" w:type="pct"/>
            <w:noWrap/>
            <w:hideMark/>
          </w:tcPr>
          <w:p w:rsidR="0070371F" w:rsidRPr="00E83C81" w:rsidRDefault="0070371F" w:rsidP="0070371F">
            <w:pPr>
              <w:spacing w:before="100" w:beforeAutospacing="1" w:after="100" w:afterAutospacing="1"/>
              <w:jc w:val="center"/>
              <w:rPr>
                <w:b/>
              </w:rPr>
            </w:pPr>
            <w:r w:rsidRPr="00E83C81">
              <w:rPr>
                <w:b/>
              </w:rPr>
              <w:t>FSB Members:</w:t>
            </w:r>
          </w:p>
          <w:p w:rsidR="0070371F" w:rsidRPr="00E83C81" w:rsidRDefault="0070371F" w:rsidP="001112E2">
            <w:pPr>
              <w:spacing w:before="100" w:beforeAutospacing="1" w:after="100" w:afterAutospacing="1"/>
              <w:jc w:val="center"/>
              <w:rPr>
                <w:b/>
              </w:rPr>
            </w:pPr>
            <w:r w:rsidRPr="00E83C81">
              <w:rPr>
                <w:b/>
              </w:rPr>
              <w:t>Complete</w:t>
            </w:r>
          </w:p>
        </w:tc>
        <w:tc>
          <w:tcPr>
            <w:tcW w:w="583" w:type="pct"/>
            <w:noWrap/>
            <w:hideMark/>
          </w:tcPr>
          <w:p w:rsidR="0070371F" w:rsidRPr="00E83C81" w:rsidRDefault="0070371F" w:rsidP="001112E2">
            <w:pPr>
              <w:spacing w:before="100" w:beforeAutospacing="1" w:after="100" w:afterAutospacing="1"/>
              <w:jc w:val="center"/>
              <w:rPr>
                <w:b/>
              </w:rPr>
            </w:pPr>
          </w:p>
          <w:p w:rsidR="0070371F" w:rsidRPr="00E83C81" w:rsidRDefault="0070371F" w:rsidP="0070371F">
            <w:pPr>
              <w:spacing w:before="100" w:beforeAutospacing="1" w:after="100" w:afterAutospacing="1"/>
              <w:rPr>
                <w:b/>
              </w:rPr>
            </w:pPr>
            <w:r w:rsidRPr="00E83C81">
              <w:rPr>
                <w:b/>
              </w:rPr>
              <w:t>Draft/</w:t>
            </w:r>
            <w:r w:rsidRPr="00E83C81">
              <w:rPr>
                <w:b/>
              </w:rPr>
              <w:br/>
              <w:t>Ongoing</w:t>
            </w:r>
          </w:p>
        </w:tc>
        <w:tc>
          <w:tcPr>
            <w:tcW w:w="560" w:type="pct"/>
            <w:noWrap/>
            <w:hideMark/>
          </w:tcPr>
          <w:p w:rsidR="0070371F" w:rsidRPr="00E83C81" w:rsidRDefault="0070371F" w:rsidP="001112E2">
            <w:pPr>
              <w:spacing w:before="100" w:beforeAutospacing="1" w:after="100" w:afterAutospacing="1"/>
              <w:jc w:val="center"/>
              <w:rPr>
                <w:b/>
              </w:rPr>
            </w:pPr>
          </w:p>
          <w:p w:rsidR="0070371F" w:rsidRPr="00E83C81" w:rsidRDefault="0070371F" w:rsidP="0070371F">
            <w:pPr>
              <w:spacing w:before="100" w:beforeAutospacing="1" w:after="100" w:afterAutospacing="1"/>
              <w:rPr>
                <w:b/>
              </w:rPr>
            </w:pPr>
            <w:r w:rsidRPr="00E83C81">
              <w:rPr>
                <w:b/>
              </w:rPr>
              <w:t>No Action</w:t>
            </w:r>
          </w:p>
        </w:tc>
        <w:tc>
          <w:tcPr>
            <w:tcW w:w="349" w:type="pct"/>
            <w:noWrap/>
            <w:hideMark/>
          </w:tcPr>
          <w:p w:rsidR="0070371F" w:rsidRPr="00E83C81" w:rsidRDefault="0070371F" w:rsidP="001112E2">
            <w:pPr>
              <w:spacing w:before="100" w:beforeAutospacing="1" w:after="100" w:afterAutospacing="1"/>
              <w:jc w:val="center"/>
              <w:rPr>
                <w:b/>
              </w:rPr>
            </w:pPr>
          </w:p>
          <w:p w:rsidR="0070371F" w:rsidRPr="00E83C81" w:rsidRDefault="0070371F" w:rsidP="0070371F">
            <w:pPr>
              <w:spacing w:before="100" w:beforeAutospacing="1" w:after="100" w:afterAutospacing="1"/>
              <w:rPr>
                <w:b/>
              </w:rPr>
            </w:pPr>
            <w:r w:rsidRPr="00E83C81">
              <w:rPr>
                <w:b/>
              </w:rPr>
              <w:t>N/A</w:t>
            </w:r>
          </w:p>
        </w:tc>
      </w:tr>
      <w:tr w:rsidR="0070371F" w:rsidRPr="00E83C81" w:rsidTr="0070371F">
        <w:trPr>
          <w:trHeight w:val="701"/>
        </w:trPr>
        <w:tc>
          <w:tcPr>
            <w:tcW w:w="1203" w:type="pct"/>
          </w:tcPr>
          <w:p w:rsidR="0070371F" w:rsidRPr="0070371F" w:rsidRDefault="0070371F" w:rsidP="001112E2">
            <w:pPr>
              <w:spacing w:before="100" w:beforeAutospacing="1" w:after="100" w:afterAutospacing="1"/>
            </w:pPr>
            <w:r w:rsidRPr="0070371F">
              <w:t>Refining the regulatory perimeter</w:t>
            </w:r>
          </w:p>
        </w:tc>
        <w:tc>
          <w:tcPr>
            <w:tcW w:w="1505" w:type="pct"/>
            <w:hideMark/>
          </w:tcPr>
          <w:p w:rsidR="0070371F" w:rsidRPr="00E83C81" w:rsidRDefault="0070371F" w:rsidP="001112E2">
            <w:pPr>
              <w:spacing w:before="100" w:beforeAutospacing="1" w:after="100" w:afterAutospacing="1"/>
            </w:pPr>
            <w:r w:rsidRPr="00E83C81">
              <w:t>1. Review of boundaries of the regulatory framework including strengthening oversight of shadow banking</w:t>
            </w:r>
          </w:p>
        </w:tc>
        <w:tc>
          <w:tcPr>
            <w:tcW w:w="800" w:type="pct"/>
            <w:noWrap/>
            <w:hideMark/>
          </w:tcPr>
          <w:p w:rsidR="0070371F" w:rsidRPr="00E83C81" w:rsidRDefault="0070371F" w:rsidP="001112E2">
            <w:pPr>
              <w:spacing w:before="100" w:beforeAutospacing="1" w:after="100" w:afterAutospacing="1"/>
              <w:jc w:val="center"/>
            </w:pPr>
            <w:r w:rsidRPr="00E83C81">
              <w:t>18</w:t>
            </w:r>
          </w:p>
        </w:tc>
        <w:tc>
          <w:tcPr>
            <w:tcW w:w="583" w:type="pct"/>
            <w:noWrap/>
            <w:hideMark/>
          </w:tcPr>
          <w:p w:rsidR="0070371F" w:rsidRPr="00E83C81" w:rsidRDefault="0070371F" w:rsidP="001112E2">
            <w:pPr>
              <w:spacing w:before="100" w:beforeAutospacing="1" w:after="100" w:afterAutospacing="1"/>
              <w:jc w:val="center"/>
            </w:pPr>
            <w:r w:rsidRPr="00E83C81">
              <w:t>7</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440"/>
        </w:trPr>
        <w:tc>
          <w:tcPr>
            <w:tcW w:w="1203" w:type="pct"/>
            <w:tcBorders>
              <w:bottom w:val="nil"/>
            </w:tcBorders>
          </w:tcPr>
          <w:p w:rsidR="0070371F" w:rsidRPr="0070371F" w:rsidRDefault="0070371F" w:rsidP="001112E2">
            <w:pPr>
              <w:spacing w:before="100" w:beforeAutospacing="1" w:after="100" w:afterAutospacing="1"/>
            </w:pPr>
            <w:r w:rsidRPr="0070371F">
              <w:t>Hedge funds</w:t>
            </w:r>
          </w:p>
        </w:tc>
        <w:tc>
          <w:tcPr>
            <w:tcW w:w="1505" w:type="pct"/>
            <w:hideMark/>
          </w:tcPr>
          <w:p w:rsidR="0070371F" w:rsidRPr="00E83C81" w:rsidRDefault="0070371F" w:rsidP="001112E2">
            <w:pPr>
              <w:spacing w:before="100" w:beforeAutospacing="1" w:after="100" w:afterAutospacing="1"/>
            </w:pPr>
            <w:r w:rsidRPr="00E83C81">
              <w:t xml:space="preserve">2. Registration, appropriate disclosures and oversight of hedge </w:t>
            </w:r>
            <w:proofErr w:type="spellStart"/>
            <w:r w:rsidRPr="00E83C81">
              <w:t>funds</w:t>
            </w:r>
            <w:r w:rsidRPr="00E83C81">
              <w:rPr>
                <w:vertAlign w:val="superscript"/>
              </w:rPr>
              <w:t>b</w:t>
            </w:r>
            <w:proofErr w:type="spellEnd"/>
          </w:p>
        </w:tc>
        <w:tc>
          <w:tcPr>
            <w:tcW w:w="800" w:type="pct"/>
            <w:noWrap/>
            <w:hideMark/>
          </w:tcPr>
          <w:p w:rsidR="0070371F" w:rsidRPr="00E83C81" w:rsidRDefault="0070371F" w:rsidP="001112E2">
            <w:pPr>
              <w:spacing w:before="100" w:beforeAutospacing="1" w:after="100" w:afterAutospacing="1"/>
              <w:jc w:val="center"/>
            </w:pPr>
            <w:r w:rsidRPr="00E83C81">
              <w:t>17</w:t>
            </w:r>
          </w:p>
        </w:tc>
        <w:tc>
          <w:tcPr>
            <w:tcW w:w="583" w:type="pct"/>
            <w:noWrap/>
            <w:hideMark/>
          </w:tcPr>
          <w:p w:rsidR="0070371F" w:rsidRPr="00E83C81" w:rsidRDefault="0070371F" w:rsidP="001112E2">
            <w:pPr>
              <w:spacing w:before="100" w:beforeAutospacing="1" w:after="100" w:afterAutospacing="1"/>
              <w:jc w:val="center"/>
            </w:pPr>
            <w:r w:rsidRPr="00E83C81">
              <w:t>5</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2</w:t>
            </w:r>
          </w:p>
        </w:tc>
      </w:tr>
      <w:tr w:rsidR="0070371F" w:rsidRPr="00E83C81" w:rsidTr="0070371F">
        <w:trPr>
          <w:trHeight w:val="494"/>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3. Establishment of international information sharing framework</w:t>
            </w:r>
          </w:p>
        </w:tc>
        <w:tc>
          <w:tcPr>
            <w:tcW w:w="800" w:type="pct"/>
            <w:noWrap/>
            <w:hideMark/>
          </w:tcPr>
          <w:p w:rsidR="0070371F" w:rsidRPr="00E83C81" w:rsidRDefault="0070371F" w:rsidP="001112E2">
            <w:pPr>
              <w:spacing w:before="100" w:beforeAutospacing="1" w:after="100" w:afterAutospacing="1"/>
              <w:jc w:val="center"/>
            </w:pPr>
            <w:r w:rsidRPr="00E83C81">
              <w:t>15</w:t>
            </w:r>
          </w:p>
        </w:tc>
        <w:tc>
          <w:tcPr>
            <w:tcW w:w="583" w:type="pct"/>
            <w:noWrap/>
            <w:hideMark/>
          </w:tcPr>
          <w:p w:rsidR="0070371F" w:rsidRPr="00E83C81" w:rsidRDefault="0070371F" w:rsidP="001112E2">
            <w:pPr>
              <w:spacing w:before="100" w:beforeAutospacing="1" w:after="100" w:afterAutospacing="1"/>
              <w:jc w:val="center"/>
            </w:pPr>
            <w:r w:rsidRPr="00E83C81">
              <w:t>3</w:t>
            </w:r>
          </w:p>
        </w:tc>
        <w:tc>
          <w:tcPr>
            <w:tcW w:w="560" w:type="pct"/>
            <w:noWrap/>
            <w:hideMark/>
          </w:tcPr>
          <w:p w:rsidR="0070371F" w:rsidRPr="00E83C81" w:rsidRDefault="0070371F" w:rsidP="001112E2">
            <w:pPr>
              <w:spacing w:before="100" w:beforeAutospacing="1" w:after="100" w:afterAutospacing="1"/>
              <w:jc w:val="center"/>
            </w:pPr>
            <w:r w:rsidRPr="00E83C81">
              <w:t>2</w:t>
            </w:r>
          </w:p>
        </w:tc>
        <w:tc>
          <w:tcPr>
            <w:tcW w:w="349" w:type="pct"/>
            <w:noWrap/>
            <w:hideMark/>
          </w:tcPr>
          <w:p w:rsidR="0070371F" w:rsidRPr="00E83C81" w:rsidRDefault="0070371F" w:rsidP="001112E2">
            <w:pPr>
              <w:spacing w:before="100" w:beforeAutospacing="1" w:after="100" w:afterAutospacing="1"/>
              <w:jc w:val="center"/>
            </w:pPr>
            <w:r w:rsidRPr="00E83C81">
              <w:t>5</w:t>
            </w:r>
          </w:p>
        </w:tc>
      </w:tr>
      <w:tr w:rsidR="0070371F" w:rsidRPr="00E83C81" w:rsidTr="0070371F">
        <w:trPr>
          <w:trHeight w:val="134"/>
        </w:trPr>
        <w:tc>
          <w:tcPr>
            <w:tcW w:w="1203" w:type="pct"/>
            <w:tcBorders>
              <w:top w:val="nil"/>
              <w:bottom w:val="single" w:sz="4" w:space="0" w:color="auto"/>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4. Enhancing counterparty risk management</w:t>
            </w:r>
          </w:p>
        </w:tc>
        <w:tc>
          <w:tcPr>
            <w:tcW w:w="800" w:type="pct"/>
            <w:noWrap/>
            <w:hideMark/>
          </w:tcPr>
          <w:p w:rsidR="0070371F" w:rsidRPr="00E83C81" w:rsidRDefault="0070371F" w:rsidP="001112E2">
            <w:pPr>
              <w:spacing w:before="100" w:beforeAutospacing="1" w:after="100" w:afterAutospacing="1"/>
              <w:jc w:val="center"/>
            </w:pPr>
            <w:r w:rsidRPr="00E83C81">
              <w:t>19</w:t>
            </w:r>
          </w:p>
        </w:tc>
        <w:tc>
          <w:tcPr>
            <w:tcW w:w="583" w:type="pct"/>
            <w:noWrap/>
            <w:hideMark/>
          </w:tcPr>
          <w:p w:rsidR="0070371F" w:rsidRPr="00E83C81" w:rsidRDefault="0070371F" w:rsidP="001112E2">
            <w:pPr>
              <w:spacing w:before="100" w:beforeAutospacing="1" w:after="100" w:afterAutospacing="1"/>
              <w:jc w:val="center"/>
            </w:pPr>
            <w:r w:rsidRPr="00E83C81">
              <w:t>6</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224"/>
        </w:trPr>
        <w:tc>
          <w:tcPr>
            <w:tcW w:w="1203" w:type="pct"/>
            <w:tcBorders>
              <w:top w:val="single" w:sz="4" w:space="0" w:color="auto"/>
              <w:bottom w:val="nil"/>
            </w:tcBorders>
          </w:tcPr>
          <w:p w:rsidR="0070371F" w:rsidRPr="0070371F" w:rsidRDefault="0070371F" w:rsidP="001112E2">
            <w:pPr>
              <w:spacing w:before="100" w:beforeAutospacing="1" w:after="100" w:afterAutospacing="1"/>
            </w:pPr>
            <w:r w:rsidRPr="0070371F">
              <w:t>Securitization</w:t>
            </w:r>
          </w:p>
        </w:tc>
        <w:tc>
          <w:tcPr>
            <w:tcW w:w="1505" w:type="pct"/>
            <w:hideMark/>
          </w:tcPr>
          <w:p w:rsidR="0070371F" w:rsidRPr="00E83C81" w:rsidRDefault="0070371F" w:rsidP="001112E2">
            <w:pPr>
              <w:spacing w:before="100" w:beforeAutospacing="1" w:after="100" w:afterAutospacing="1"/>
            </w:pPr>
            <w:r w:rsidRPr="00E83C81">
              <w:t>5.Improving the risk management of securitization</w:t>
            </w:r>
          </w:p>
        </w:tc>
        <w:tc>
          <w:tcPr>
            <w:tcW w:w="800" w:type="pct"/>
            <w:noWrap/>
            <w:hideMark/>
          </w:tcPr>
          <w:p w:rsidR="0070371F" w:rsidRPr="00E83C81" w:rsidRDefault="0070371F" w:rsidP="001112E2">
            <w:pPr>
              <w:spacing w:before="100" w:beforeAutospacing="1" w:after="100" w:afterAutospacing="1"/>
              <w:jc w:val="center"/>
            </w:pPr>
            <w:r w:rsidRPr="00E83C81">
              <w:t>20</w:t>
            </w:r>
          </w:p>
        </w:tc>
        <w:tc>
          <w:tcPr>
            <w:tcW w:w="583" w:type="pct"/>
            <w:noWrap/>
            <w:hideMark/>
          </w:tcPr>
          <w:p w:rsidR="0070371F" w:rsidRPr="00E83C81" w:rsidRDefault="0070371F" w:rsidP="001112E2">
            <w:pPr>
              <w:spacing w:before="100" w:beforeAutospacing="1" w:after="100" w:afterAutospacing="1"/>
              <w:jc w:val="center"/>
            </w:pPr>
            <w:r w:rsidRPr="00E83C81">
              <w:t>4</w:t>
            </w:r>
          </w:p>
        </w:tc>
        <w:tc>
          <w:tcPr>
            <w:tcW w:w="560" w:type="pct"/>
            <w:noWrap/>
            <w:hideMark/>
          </w:tcPr>
          <w:p w:rsidR="0070371F" w:rsidRPr="00E83C81" w:rsidRDefault="0070371F" w:rsidP="001112E2">
            <w:pPr>
              <w:spacing w:before="100" w:beforeAutospacing="1" w:after="100" w:afterAutospacing="1"/>
              <w:jc w:val="center"/>
            </w:pPr>
            <w:r w:rsidRPr="00E83C81">
              <w:t>1</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314"/>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 xml:space="preserve">6. Strengthening of regulatory and capital framework for </w:t>
            </w:r>
            <w:proofErr w:type="spellStart"/>
            <w:r w:rsidRPr="00E83C81">
              <w:t>monoline</w:t>
            </w:r>
            <w:proofErr w:type="spellEnd"/>
            <w:r w:rsidR="00F007ED">
              <w:t xml:space="preserve"> insur</w:t>
            </w:r>
            <w:r w:rsidR="000171D1">
              <w:t>ance firm</w:t>
            </w:r>
            <w:r w:rsidRPr="00E83C81">
              <w:t>s</w:t>
            </w:r>
          </w:p>
        </w:tc>
        <w:tc>
          <w:tcPr>
            <w:tcW w:w="800" w:type="pct"/>
            <w:noWrap/>
            <w:hideMark/>
          </w:tcPr>
          <w:p w:rsidR="0070371F" w:rsidRPr="00E83C81" w:rsidRDefault="0070371F" w:rsidP="001112E2">
            <w:pPr>
              <w:spacing w:before="100" w:beforeAutospacing="1" w:after="100" w:afterAutospacing="1"/>
              <w:jc w:val="center"/>
            </w:pPr>
            <w:r w:rsidRPr="00E83C81">
              <w:t>3</w:t>
            </w:r>
          </w:p>
        </w:tc>
        <w:tc>
          <w:tcPr>
            <w:tcW w:w="583" w:type="pct"/>
            <w:noWrap/>
            <w:hideMark/>
          </w:tcPr>
          <w:p w:rsidR="0070371F" w:rsidRPr="00E83C81" w:rsidRDefault="0070371F" w:rsidP="001112E2">
            <w:pPr>
              <w:spacing w:before="100" w:beforeAutospacing="1" w:after="100" w:afterAutospacing="1"/>
              <w:jc w:val="center"/>
            </w:pPr>
            <w:r w:rsidRPr="00E83C81">
              <w:t>5</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17</w:t>
            </w:r>
          </w:p>
        </w:tc>
      </w:tr>
      <w:tr w:rsidR="0070371F" w:rsidRPr="00E83C81" w:rsidTr="0070371F">
        <w:trPr>
          <w:trHeight w:val="440"/>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7. Strengthening of supervisory requirements or best practices for investment in structured products</w:t>
            </w:r>
          </w:p>
        </w:tc>
        <w:tc>
          <w:tcPr>
            <w:tcW w:w="800" w:type="pct"/>
            <w:noWrap/>
            <w:hideMark/>
          </w:tcPr>
          <w:p w:rsidR="0070371F" w:rsidRPr="00E83C81" w:rsidRDefault="0070371F" w:rsidP="001112E2">
            <w:pPr>
              <w:spacing w:before="100" w:beforeAutospacing="1" w:after="100" w:afterAutospacing="1"/>
              <w:jc w:val="center"/>
            </w:pPr>
            <w:r w:rsidRPr="00E83C81">
              <w:t>16</w:t>
            </w:r>
          </w:p>
        </w:tc>
        <w:tc>
          <w:tcPr>
            <w:tcW w:w="583" w:type="pct"/>
            <w:noWrap/>
            <w:hideMark/>
          </w:tcPr>
          <w:p w:rsidR="0070371F" w:rsidRPr="00E83C81" w:rsidRDefault="0070371F" w:rsidP="001112E2">
            <w:pPr>
              <w:spacing w:before="100" w:beforeAutospacing="1" w:after="100" w:afterAutospacing="1"/>
              <w:jc w:val="center"/>
            </w:pPr>
            <w:r w:rsidRPr="00E83C81">
              <w:t>7</w:t>
            </w:r>
          </w:p>
        </w:tc>
        <w:tc>
          <w:tcPr>
            <w:tcW w:w="560" w:type="pct"/>
            <w:noWrap/>
            <w:hideMark/>
          </w:tcPr>
          <w:p w:rsidR="0070371F" w:rsidRPr="00E83C81" w:rsidRDefault="0070371F" w:rsidP="001112E2">
            <w:pPr>
              <w:spacing w:before="100" w:beforeAutospacing="1" w:after="100" w:afterAutospacing="1"/>
              <w:jc w:val="center"/>
            </w:pPr>
            <w:r w:rsidRPr="00E83C81">
              <w:t>2</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431"/>
        </w:trPr>
        <w:tc>
          <w:tcPr>
            <w:tcW w:w="1203" w:type="pct"/>
            <w:tcBorders>
              <w:top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8. Enhanced disclosure of securitized products</w:t>
            </w:r>
          </w:p>
        </w:tc>
        <w:tc>
          <w:tcPr>
            <w:tcW w:w="800" w:type="pct"/>
            <w:noWrap/>
            <w:hideMark/>
          </w:tcPr>
          <w:p w:rsidR="0070371F" w:rsidRPr="00E83C81" w:rsidRDefault="0070371F" w:rsidP="001112E2">
            <w:pPr>
              <w:spacing w:before="100" w:beforeAutospacing="1" w:after="100" w:afterAutospacing="1"/>
              <w:jc w:val="center"/>
            </w:pPr>
            <w:r w:rsidRPr="00E83C81">
              <w:t>16</w:t>
            </w:r>
          </w:p>
        </w:tc>
        <w:tc>
          <w:tcPr>
            <w:tcW w:w="583" w:type="pct"/>
            <w:noWrap/>
            <w:hideMark/>
          </w:tcPr>
          <w:p w:rsidR="0070371F" w:rsidRPr="00E83C81" w:rsidRDefault="0070371F" w:rsidP="001112E2">
            <w:pPr>
              <w:spacing w:before="100" w:beforeAutospacing="1" w:after="100" w:afterAutospacing="1"/>
              <w:jc w:val="center"/>
            </w:pPr>
            <w:r w:rsidRPr="00E83C81">
              <w:t>7</w:t>
            </w:r>
          </w:p>
        </w:tc>
        <w:tc>
          <w:tcPr>
            <w:tcW w:w="560" w:type="pct"/>
            <w:noWrap/>
            <w:hideMark/>
          </w:tcPr>
          <w:p w:rsidR="0070371F" w:rsidRPr="00E83C81" w:rsidRDefault="0070371F" w:rsidP="001112E2">
            <w:pPr>
              <w:spacing w:before="100" w:beforeAutospacing="1" w:after="100" w:afterAutospacing="1"/>
              <w:jc w:val="center"/>
            </w:pPr>
            <w:r w:rsidRPr="00E83C81">
              <w:t>2</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539"/>
        </w:trPr>
        <w:tc>
          <w:tcPr>
            <w:tcW w:w="1203" w:type="pct"/>
            <w:tcBorders>
              <w:bottom w:val="nil"/>
            </w:tcBorders>
          </w:tcPr>
          <w:p w:rsidR="0070371F" w:rsidRPr="0070371F" w:rsidRDefault="0070371F" w:rsidP="001112E2">
            <w:pPr>
              <w:spacing w:before="100" w:beforeAutospacing="1" w:after="100" w:afterAutospacing="1"/>
            </w:pPr>
            <w:r w:rsidRPr="0070371F">
              <w:t>Enhancing supervision </w:t>
            </w:r>
          </w:p>
        </w:tc>
        <w:tc>
          <w:tcPr>
            <w:tcW w:w="1505" w:type="pct"/>
            <w:hideMark/>
          </w:tcPr>
          <w:p w:rsidR="0070371F" w:rsidRPr="00E83C81" w:rsidRDefault="0070371F" w:rsidP="001112E2">
            <w:pPr>
              <w:spacing w:before="100" w:beforeAutospacing="1" w:after="100" w:afterAutospacing="1"/>
            </w:pPr>
            <w:r w:rsidRPr="00E83C81">
              <w:t>9. Consistent, consolidated supervision and regulation of SIFIs</w:t>
            </w:r>
          </w:p>
        </w:tc>
        <w:tc>
          <w:tcPr>
            <w:tcW w:w="800" w:type="pct"/>
            <w:noWrap/>
            <w:hideMark/>
          </w:tcPr>
          <w:p w:rsidR="0070371F" w:rsidRPr="00E83C81" w:rsidRDefault="0070371F" w:rsidP="001112E2">
            <w:pPr>
              <w:spacing w:before="100" w:beforeAutospacing="1" w:after="100" w:afterAutospacing="1"/>
              <w:jc w:val="center"/>
            </w:pPr>
            <w:r w:rsidRPr="00E83C81">
              <w:t>18</w:t>
            </w:r>
          </w:p>
        </w:tc>
        <w:tc>
          <w:tcPr>
            <w:tcW w:w="583" w:type="pct"/>
            <w:noWrap/>
            <w:hideMark/>
          </w:tcPr>
          <w:p w:rsidR="0070371F" w:rsidRPr="00E83C81" w:rsidRDefault="0070371F" w:rsidP="001112E2">
            <w:pPr>
              <w:spacing w:before="100" w:beforeAutospacing="1" w:after="100" w:afterAutospacing="1"/>
              <w:jc w:val="center"/>
            </w:pPr>
            <w:r w:rsidRPr="00E83C81">
              <w:t>7</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341"/>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10. Establishing supervisory colleges and conducting risk assessments</w:t>
            </w:r>
          </w:p>
        </w:tc>
        <w:tc>
          <w:tcPr>
            <w:tcW w:w="800" w:type="pct"/>
            <w:noWrap/>
            <w:hideMark/>
          </w:tcPr>
          <w:p w:rsidR="0070371F" w:rsidRPr="00E83C81" w:rsidRDefault="0070371F" w:rsidP="001112E2">
            <w:pPr>
              <w:spacing w:before="100" w:beforeAutospacing="1" w:after="100" w:afterAutospacing="1"/>
              <w:jc w:val="center"/>
            </w:pPr>
            <w:r w:rsidRPr="00E83C81">
              <w:t>16</w:t>
            </w:r>
          </w:p>
        </w:tc>
        <w:tc>
          <w:tcPr>
            <w:tcW w:w="583" w:type="pct"/>
            <w:noWrap/>
            <w:hideMark/>
          </w:tcPr>
          <w:p w:rsidR="0070371F" w:rsidRPr="00E83C81" w:rsidRDefault="0070371F" w:rsidP="001112E2">
            <w:pPr>
              <w:spacing w:before="100" w:beforeAutospacing="1" w:after="100" w:afterAutospacing="1"/>
              <w:jc w:val="center"/>
            </w:pPr>
            <w:r w:rsidRPr="00E83C81">
              <w:t>3</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6</w:t>
            </w:r>
          </w:p>
        </w:tc>
      </w:tr>
      <w:tr w:rsidR="0070371F" w:rsidRPr="00E83C81" w:rsidTr="0070371F">
        <w:trPr>
          <w:trHeight w:val="368"/>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11. Supervisory exchange of information and coordination</w:t>
            </w:r>
          </w:p>
        </w:tc>
        <w:tc>
          <w:tcPr>
            <w:tcW w:w="800" w:type="pct"/>
            <w:noWrap/>
            <w:hideMark/>
          </w:tcPr>
          <w:p w:rsidR="0070371F" w:rsidRPr="00E83C81" w:rsidRDefault="0070371F" w:rsidP="001112E2">
            <w:pPr>
              <w:spacing w:before="100" w:beforeAutospacing="1" w:after="100" w:afterAutospacing="1"/>
              <w:jc w:val="center"/>
            </w:pPr>
            <w:r w:rsidRPr="00E83C81">
              <w:t>20</w:t>
            </w:r>
          </w:p>
        </w:tc>
        <w:tc>
          <w:tcPr>
            <w:tcW w:w="583" w:type="pct"/>
            <w:noWrap/>
            <w:hideMark/>
          </w:tcPr>
          <w:p w:rsidR="0070371F" w:rsidRPr="00E83C81" w:rsidRDefault="0070371F" w:rsidP="001112E2">
            <w:pPr>
              <w:spacing w:before="100" w:beforeAutospacing="1" w:after="100" w:afterAutospacing="1"/>
              <w:jc w:val="center"/>
            </w:pPr>
            <w:r w:rsidRPr="00E83C81">
              <w:t>4</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1</w:t>
            </w:r>
          </w:p>
        </w:tc>
      </w:tr>
      <w:tr w:rsidR="0070371F" w:rsidRPr="00E83C81" w:rsidTr="0070371F">
        <w:trPr>
          <w:trHeight w:val="395"/>
        </w:trPr>
        <w:tc>
          <w:tcPr>
            <w:tcW w:w="1203" w:type="pct"/>
            <w:tcBorders>
              <w:top w:val="nil"/>
              <w:bottom w:val="single" w:sz="4" w:space="0" w:color="000000"/>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12. Strengthening resources and effective supervision</w:t>
            </w:r>
          </w:p>
        </w:tc>
        <w:tc>
          <w:tcPr>
            <w:tcW w:w="800" w:type="pct"/>
            <w:noWrap/>
            <w:hideMark/>
          </w:tcPr>
          <w:p w:rsidR="0070371F" w:rsidRPr="00E83C81" w:rsidRDefault="0070371F" w:rsidP="001112E2">
            <w:pPr>
              <w:spacing w:before="100" w:beforeAutospacing="1" w:after="100" w:afterAutospacing="1"/>
              <w:jc w:val="center"/>
            </w:pPr>
            <w:r w:rsidRPr="00E83C81">
              <w:t>22</w:t>
            </w:r>
          </w:p>
        </w:tc>
        <w:tc>
          <w:tcPr>
            <w:tcW w:w="583" w:type="pct"/>
            <w:noWrap/>
            <w:hideMark/>
          </w:tcPr>
          <w:p w:rsidR="0070371F" w:rsidRPr="00E83C81" w:rsidRDefault="0070371F" w:rsidP="001112E2">
            <w:pPr>
              <w:spacing w:before="100" w:beforeAutospacing="1" w:after="100" w:afterAutospacing="1"/>
              <w:jc w:val="center"/>
            </w:pPr>
            <w:r w:rsidRPr="00E83C81">
              <w:t>3</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503"/>
        </w:trPr>
        <w:tc>
          <w:tcPr>
            <w:tcW w:w="1203" w:type="pct"/>
            <w:tcBorders>
              <w:top w:val="single" w:sz="4" w:space="0" w:color="000000"/>
              <w:bottom w:val="nil"/>
            </w:tcBorders>
          </w:tcPr>
          <w:p w:rsidR="0070371F" w:rsidRPr="0070371F" w:rsidRDefault="0070371F" w:rsidP="001112E2">
            <w:pPr>
              <w:spacing w:before="100" w:beforeAutospacing="1" w:after="100" w:afterAutospacing="1"/>
            </w:pPr>
            <w:r w:rsidRPr="0070371F">
              <w:t>Building and implementing macro-Prudential frameworks and tools</w:t>
            </w:r>
          </w:p>
        </w:tc>
        <w:tc>
          <w:tcPr>
            <w:tcW w:w="1505" w:type="pct"/>
            <w:hideMark/>
          </w:tcPr>
          <w:p w:rsidR="0070371F" w:rsidRPr="00E83C81" w:rsidRDefault="0070371F" w:rsidP="001112E2">
            <w:pPr>
              <w:spacing w:before="100" w:beforeAutospacing="1" w:after="100" w:afterAutospacing="1"/>
            </w:pPr>
            <w:r w:rsidRPr="00E83C81">
              <w:t>13. Establishing regulatory framework for macro-prudential oversight</w:t>
            </w:r>
          </w:p>
        </w:tc>
        <w:tc>
          <w:tcPr>
            <w:tcW w:w="800" w:type="pct"/>
            <w:noWrap/>
            <w:hideMark/>
          </w:tcPr>
          <w:p w:rsidR="0070371F" w:rsidRPr="00E83C81" w:rsidRDefault="0070371F" w:rsidP="001112E2">
            <w:pPr>
              <w:spacing w:before="100" w:beforeAutospacing="1" w:after="100" w:afterAutospacing="1"/>
              <w:jc w:val="center"/>
            </w:pPr>
            <w:r w:rsidRPr="00E83C81">
              <w:t>22</w:t>
            </w:r>
          </w:p>
        </w:tc>
        <w:tc>
          <w:tcPr>
            <w:tcW w:w="583" w:type="pct"/>
            <w:noWrap/>
            <w:hideMark/>
          </w:tcPr>
          <w:p w:rsidR="0070371F" w:rsidRPr="00E83C81" w:rsidRDefault="0070371F" w:rsidP="001112E2">
            <w:pPr>
              <w:spacing w:before="100" w:beforeAutospacing="1" w:after="100" w:afterAutospacing="1"/>
              <w:jc w:val="center"/>
            </w:pPr>
            <w:r w:rsidRPr="00E83C81">
              <w:t>3</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278"/>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14. Enhancing system-wide monitoring and the use of macro-prudential instruments</w:t>
            </w:r>
          </w:p>
        </w:tc>
        <w:tc>
          <w:tcPr>
            <w:tcW w:w="800" w:type="pct"/>
            <w:noWrap/>
            <w:hideMark/>
          </w:tcPr>
          <w:p w:rsidR="0070371F" w:rsidRPr="00E83C81" w:rsidRDefault="0070371F" w:rsidP="001112E2">
            <w:pPr>
              <w:spacing w:before="100" w:beforeAutospacing="1" w:after="100" w:afterAutospacing="1"/>
              <w:jc w:val="center"/>
            </w:pPr>
            <w:r w:rsidRPr="00E83C81">
              <w:t>18</w:t>
            </w:r>
          </w:p>
        </w:tc>
        <w:tc>
          <w:tcPr>
            <w:tcW w:w="583" w:type="pct"/>
            <w:noWrap/>
            <w:hideMark/>
          </w:tcPr>
          <w:p w:rsidR="0070371F" w:rsidRPr="00E83C81" w:rsidRDefault="0070371F" w:rsidP="001112E2">
            <w:pPr>
              <w:spacing w:before="100" w:beforeAutospacing="1" w:after="100" w:afterAutospacing="1"/>
              <w:jc w:val="center"/>
            </w:pPr>
            <w:r w:rsidRPr="00E83C81">
              <w:t>6</w:t>
            </w:r>
          </w:p>
        </w:tc>
        <w:tc>
          <w:tcPr>
            <w:tcW w:w="560" w:type="pct"/>
            <w:noWrap/>
            <w:hideMark/>
          </w:tcPr>
          <w:p w:rsidR="0070371F" w:rsidRPr="00E83C81" w:rsidRDefault="0070371F" w:rsidP="001112E2">
            <w:pPr>
              <w:spacing w:before="100" w:beforeAutospacing="1" w:after="100" w:afterAutospacing="1"/>
              <w:jc w:val="center"/>
            </w:pPr>
            <w:r w:rsidRPr="00E83C81">
              <w:t>1</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56"/>
        </w:trPr>
        <w:tc>
          <w:tcPr>
            <w:tcW w:w="1203" w:type="pct"/>
            <w:tcBorders>
              <w:top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15. Improved cooperation between supervisors and central banks</w:t>
            </w:r>
          </w:p>
        </w:tc>
        <w:tc>
          <w:tcPr>
            <w:tcW w:w="800" w:type="pct"/>
            <w:noWrap/>
            <w:hideMark/>
          </w:tcPr>
          <w:p w:rsidR="0070371F" w:rsidRPr="00E83C81" w:rsidRDefault="0070371F" w:rsidP="001112E2">
            <w:pPr>
              <w:spacing w:before="100" w:beforeAutospacing="1" w:after="100" w:afterAutospacing="1"/>
              <w:jc w:val="center"/>
            </w:pPr>
            <w:r w:rsidRPr="00E83C81">
              <w:t>22</w:t>
            </w:r>
          </w:p>
        </w:tc>
        <w:tc>
          <w:tcPr>
            <w:tcW w:w="583" w:type="pct"/>
            <w:noWrap/>
            <w:hideMark/>
          </w:tcPr>
          <w:p w:rsidR="0070371F" w:rsidRPr="00E83C81" w:rsidRDefault="0070371F" w:rsidP="001112E2">
            <w:pPr>
              <w:spacing w:before="100" w:beforeAutospacing="1" w:after="100" w:afterAutospacing="1"/>
              <w:jc w:val="center"/>
            </w:pPr>
            <w:r w:rsidRPr="00E83C81">
              <w:t>2</w:t>
            </w:r>
          </w:p>
        </w:tc>
        <w:tc>
          <w:tcPr>
            <w:tcW w:w="560" w:type="pct"/>
            <w:noWrap/>
            <w:hideMark/>
          </w:tcPr>
          <w:p w:rsidR="0070371F" w:rsidRPr="00E83C81" w:rsidRDefault="0070371F" w:rsidP="001112E2">
            <w:pPr>
              <w:spacing w:before="100" w:beforeAutospacing="1" w:after="100" w:afterAutospacing="1"/>
              <w:jc w:val="center"/>
            </w:pPr>
            <w:r w:rsidRPr="00E83C81">
              <w:t>1</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503"/>
        </w:trPr>
        <w:tc>
          <w:tcPr>
            <w:tcW w:w="1203" w:type="pct"/>
            <w:tcBorders>
              <w:bottom w:val="nil"/>
            </w:tcBorders>
          </w:tcPr>
          <w:p w:rsidR="0070371F" w:rsidRPr="0070371F" w:rsidRDefault="0070371F" w:rsidP="001112E2">
            <w:pPr>
              <w:spacing w:before="100" w:beforeAutospacing="1" w:after="100" w:afterAutospacing="1"/>
            </w:pPr>
            <w:r w:rsidRPr="0070371F">
              <w:t>Improving oversight of credit rating agencies</w:t>
            </w:r>
          </w:p>
        </w:tc>
        <w:tc>
          <w:tcPr>
            <w:tcW w:w="1505" w:type="pct"/>
            <w:hideMark/>
          </w:tcPr>
          <w:p w:rsidR="0070371F" w:rsidRPr="00E83C81" w:rsidRDefault="0070371F" w:rsidP="001112E2">
            <w:pPr>
              <w:spacing w:before="100" w:beforeAutospacing="1" w:after="100" w:afterAutospacing="1"/>
            </w:pPr>
            <w:r w:rsidRPr="00E83C81">
              <w:t>16. Enhancing regulation and supervision of CRAs</w:t>
            </w:r>
          </w:p>
        </w:tc>
        <w:tc>
          <w:tcPr>
            <w:tcW w:w="800" w:type="pct"/>
            <w:noWrap/>
            <w:hideMark/>
          </w:tcPr>
          <w:p w:rsidR="0070371F" w:rsidRPr="00E83C81" w:rsidRDefault="0070371F" w:rsidP="001112E2">
            <w:pPr>
              <w:spacing w:before="100" w:beforeAutospacing="1" w:after="100" w:afterAutospacing="1"/>
              <w:jc w:val="center"/>
            </w:pPr>
            <w:r w:rsidRPr="00E83C81">
              <w:t>23</w:t>
            </w:r>
          </w:p>
        </w:tc>
        <w:tc>
          <w:tcPr>
            <w:tcW w:w="583" w:type="pct"/>
            <w:noWrap/>
            <w:hideMark/>
          </w:tcPr>
          <w:p w:rsidR="0070371F" w:rsidRPr="00E83C81" w:rsidRDefault="0070371F" w:rsidP="001112E2">
            <w:pPr>
              <w:spacing w:before="100" w:beforeAutospacing="1" w:after="100" w:afterAutospacing="1"/>
              <w:jc w:val="center"/>
            </w:pPr>
            <w:r w:rsidRPr="00E83C81">
              <w:t>2</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323"/>
        </w:trPr>
        <w:tc>
          <w:tcPr>
            <w:tcW w:w="1203" w:type="pct"/>
            <w:tcBorders>
              <w:top w:val="nil"/>
              <w:bottom w:val="single" w:sz="4" w:space="0" w:color="000000"/>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 xml:space="preserve">17. Reducing the reliance on </w:t>
            </w:r>
            <w:proofErr w:type="spellStart"/>
            <w:r w:rsidRPr="00E83C81">
              <w:t>ratings</w:t>
            </w:r>
            <w:r w:rsidRPr="00E83C81">
              <w:rPr>
                <w:vertAlign w:val="superscript"/>
              </w:rPr>
              <w:t>c</w:t>
            </w:r>
            <w:proofErr w:type="spellEnd"/>
          </w:p>
        </w:tc>
        <w:tc>
          <w:tcPr>
            <w:tcW w:w="800" w:type="pct"/>
            <w:noWrap/>
            <w:hideMark/>
          </w:tcPr>
          <w:p w:rsidR="0070371F" w:rsidRPr="00E83C81" w:rsidRDefault="0070371F" w:rsidP="001112E2">
            <w:pPr>
              <w:spacing w:before="100" w:beforeAutospacing="1" w:after="100" w:afterAutospacing="1"/>
              <w:jc w:val="center"/>
            </w:pPr>
          </w:p>
        </w:tc>
        <w:tc>
          <w:tcPr>
            <w:tcW w:w="583" w:type="pct"/>
            <w:noWrap/>
            <w:hideMark/>
          </w:tcPr>
          <w:p w:rsidR="0070371F" w:rsidRPr="00E83C81" w:rsidRDefault="0070371F" w:rsidP="001112E2">
            <w:pPr>
              <w:spacing w:before="100" w:beforeAutospacing="1" w:after="100" w:afterAutospacing="1"/>
              <w:jc w:val="center"/>
            </w:pPr>
          </w:p>
        </w:tc>
        <w:tc>
          <w:tcPr>
            <w:tcW w:w="560" w:type="pct"/>
            <w:noWrap/>
            <w:hideMark/>
          </w:tcPr>
          <w:p w:rsidR="0070371F" w:rsidRPr="00E83C81" w:rsidRDefault="0070371F" w:rsidP="001112E2">
            <w:pPr>
              <w:spacing w:before="100" w:beforeAutospacing="1" w:after="100" w:afterAutospacing="1"/>
              <w:jc w:val="center"/>
            </w:pPr>
          </w:p>
        </w:tc>
        <w:tc>
          <w:tcPr>
            <w:tcW w:w="349" w:type="pct"/>
            <w:noWrap/>
            <w:hideMark/>
          </w:tcPr>
          <w:p w:rsidR="0070371F" w:rsidRPr="00E83C81" w:rsidRDefault="0070371F" w:rsidP="001112E2">
            <w:pPr>
              <w:spacing w:before="100" w:beforeAutospacing="1" w:after="100" w:afterAutospacing="1"/>
              <w:jc w:val="center"/>
            </w:pPr>
          </w:p>
        </w:tc>
      </w:tr>
      <w:tr w:rsidR="0070371F" w:rsidRPr="00E83C81" w:rsidTr="0070371F">
        <w:trPr>
          <w:trHeight w:val="719"/>
        </w:trPr>
        <w:tc>
          <w:tcPr>
            <w:tcW w:w="1203" w:type="pct"/>
            <w:tcBorders>
              <w:top w:val="single" w:sz="4" w:space="0" w:color="000000"/>
              <w:bottom w:val="nil"/>
            </w:tcBorders>
          </w:tcPr>
          <w:p w:rsidR="0070371F" w:rsidRPr="0070371F" w:rsidRDefault="0070371F" w:rsidP="001112E2">
            <w:pPr>
              <w:spacing w:before="100" w:beforeAutospacing="1" w:after="100" w:afterAutospacing="1"/>
            </w:pPr>
            <w:r w:rsidRPr="0070371F">
              <w:t>Enhancing and aligning accounting standards</w:t>
            </w:r>
          </w:p>
        </w:tc>
        <w:tc>
          <w:tcPr>
            <w:tcW w:w="1505" w:type="pct"/>
            <w:hideMark/>
          </w:tcPr>
          <w:p w:rsidR="0070371F" w:rsidRPr="00E83C81" w:rsidRDefault="0070371F" w:rsidP="001112E2">
            <w:pPr>
              <w:spacing w:before="100" w:beforeAutospacing="1" w:after="100" w:afterAutospacing="1"/>
            </w:pPr>
            <w:r w:rsidRPr="00E83C81">
              <w:t>18. Consistent application of high-quality accounting standards</w:t>
            </w:r>
          </w:p>
        </w:tc>
        <w:tc>
          <w:tcPr>
            <w:tcW w:w="800" w:type="pct"/>
            <w:noWrap/>
            <w:hideMark/>
          </w:tcPr>
          <w:p w:rsidR="0070371F" w:rsidRPr="00E83C81" w:rsidRDefault="0070371F" w:rsidP="001112E2">
            <w:pPr>
              <w:spacing w:before="100" w:beforeAutospacing="1" w:after="100" w:afterAutospacing="1"/>
              <w:jc w:val="center"/>
            </w:pPr>
            <w:r w:rsidRPr="00E83C81">
              <w:t>23</w:t>
            </w:r>
          </w:p>
        </w:tc>
        <w:tc>
          <w:tcPr>
            <w:tcW w:w="583" w:type="pct"/>
            <w:noWrap/>
            <w:hideMark/>
          </w:tcPr>
          <w:p w:rsidR="0070371F" w:rsidRPr="00E83C81" w:rsidRDefault="0070371F" w:rsidP="001112E2">
            <w:pPr>
              <w:spacing w:before="100" w:beforeAutospacing="1" w:after="100" w:afterAutospacing="1"/>
              <w:jc w:val="center"/>
            </w:pPr>
            <w:r w:rsidRPr="00E83C81">
              <w:t>2</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521"/>
        </w:trPr>
        <w:tc>
          <w:tcPr>
            <w:tcW w:w="1203" w:type="pct"/>
            <w:tcBorders>
              <w:top w:val="nil"/>
              <w:bottom w:val="single" w:sz="4" w:space="0" w:color="000000"/>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19. Appropriate application of Fair Value Accounting</w:t>
            </w:r>
          </w:p>
        </w:tc>
        <w:tc>
          <w:tcPr>
            <w:tcW w:w="800" w:type="pct"/>
            <w:noWrap/>
            <w:hideMark/>
          </w:tcPr>
          <w:p w:rsidR="0070371F" w:rsidRPr="00E83C81" w:rsidRDefault="0070371F" w:rsidP="001112E2">
            <w:pPr>
              <w:spacing w:before="100" w:beforeAutospacing="1" w:after="100" w:afterAutospacing="1"/>
              <w:jc w:val="center"/>
            </w:pPr>
            <w:r w:rsidRPr="00E83C81">
              <w:t>19</w:t>
            </w:r>
          </w:p>
        </w:tc>
        <w:tc>
          <w:tcPr>
            <w:tcW w:w="583" w:type="pct"/>
            <w:noWrap/>
            <w:hideMark/>
          </w:tcPr>
          <w:p w:rsidR="0070371F" w:rsidRPr="00E83C81" w:rsidRDefault="0070371F" w:rsidP="001112E2">
            <w:pPr>
              <w:spacing w:before="100" w:beforeAutospacing="1" w:after="100" w:afterAutospacing="1"/>
              <w:jc w:val="center"/>
            </w:pPr>
            <w:r w:rsidRPr="00E83C81">
              <w:t>6</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440"/>
        </w:trPr>
        <w:tc>
          <w:tcPr>
            <w:tcW w:w="1203" w:type="pct"/>
            <w:tcBorders>
              <w:top w:val="single" w:sz="4" w:space="0" w:color="000000"/>
              <w:bottom w:val="nil"/>
            </w:tcBorders>
          </w:tcPr>
          <w:p w:rsidR="0070371F" w:rsidRPr="0070371F" w:rsidRDefault="0070371F" w:rsidP="001112E2">
            <w:pPr>
              <w:spacing w:before="100" w:beforeAutospacing="1" w:after="100" w:afterAutospacing="1"/>
            </w:pPr>
            <w:r w:rsidRPr="0070371F">
              <w:t>Enhancing risk management</w:t>
            </w:r>
          </w:p>
        </w:tc>
        <w:tc>
          <w:tcPr>
            <w:tcW w:w="1505" w:type="pct"/>
            <w:hideMark/>
          </w:tcPr>
          <w:p w:rsidR="0070371F" w:rsidRPr="00E83C81" w:rsidRDefault="0070371F" w:rsidP="001112E2">
            <w:pPr>
              <w:spacing w:before="100" w:beforeAutospacing="1" w:after="100" w:afterAutospacing="1"/>
            </w:pPr>
            <w:r w:rsidRPr="00E83C81">
              <w:t>20. Enhancing guidance to strengthen banks' risk management practices, including on liquidity and foreign currency funding risks</w:t>
            </w:r>
          </w:p>
        </w:tc>
        <w:tc>
          <w:tcPr>
            <w:tcW w:w="800" w:type="pct"/>
            <w:noWrap/>
            <w:hideMark/>
          </w:tcPr>
          <w:p w:rsidR="0070371F" w:rsidRPr="00E83C81" w:rsidRDefault="0070371F" w:rsidP="001112E2">
            <w:pPr>
              <w:spacing w:before="100" w:beforeAutospacing="1" w:after="100" w:afterAutospacing="1"/>
              <w:jc w:val="center"/>
            </w:pPr>
            <w:r w:rsidRPr="00E83C81">
              <w:t>19</w:t>
            </w:r>
          </w:p>
        </w:tc>
        <w:tc>
          <w:tcPr>
            <w:tcW w:w="583" w:type="pct"/>
            <w:noWrap/>
            <w:hideMark/>
          </w:tcPr>
          <w:p w:rsidR="0070371F" w:rsidRPr="00E83C81" w:rsidRDefault="0070371F" w:rsidP="001112E2">
            <w:pPr>
              <w:spacing w:before="100" w:beforeAutospacing="1" w:after="100" w:afterAutospacing="1"/>
              <w:jc w:val="center"/>
            </w:pPr>
            <w:r w:rsidRPr="00E83C81">
              <w:t>6</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350"/>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21. Efforts to deal with impaired assets and raise additional capital</w:t>
            </w:r>
          </w:p>
        </w:tc>
        <w:tc>
          <w:tcPr>
            <w:tcW w:w="800" w:type="pct"/>
            <w:noWrap/>
            <w:hideMark/>
          </w:tcPr>
          <w:p w:rsidR="0070371F" w:rsidRPr="00E83C81" w:rsidRDefault="0070371F" w:rsidP="001112E2">
            <w:pPr>
              <w:spacing w:before="100" w:beforeAutospacing="1" w:after="100" w:afterAutospacing="1"/>
              <w:jc w:val="center"/>
            </w:pPr>
            <w:r w:rsidRPr="00E83C81">
              <w:t>17</w:t>
            </w:r>
          </w:p>
        </w:tc>
        <w:tc>
          <w:tcPr>
            <w:tcW w:w="583" w:type="pct"/>
            <w:noWrap/>
            <w:hideMark/>
          </w:tcPr>
          <w:p w:rsidR="0070371F" w:rsidRPr="00E83C81" w:rsidRDefault="0070371F" w:rsidP="001112E2">
            <w:pPr>
              <w:spacing w:before="100" w:beforeAutospacing="1" w:after="100" w:afterAutospacing="1"/>
              <w:jc w:val="center"/>
            </w:pPr>
            <w:r w:rsidRPr="00E83C81">
              <w:t>5</w:t>
            </w:r>
          </w:p>
        </w:tc>
        <w:tc>
          <w:tcPr>
            <w:tcW w:w="560" w:type="pct"/>
            <w:noWrap/>
            <w:hideMark/>
          </w:tcPr>
          <w:p w:rsidR="0070371F" w:rsidRPr="00E83C81" w:rsidRDefault="0070371F" w:rsidP="001112E2">
            <w:pPr>
              <w:spacing w:before="100" w:beforeAutospacing="1" w:after="100" w:afterAutospacing="1"/>
              <w:jc w:val="center"/>
            </w:pPr>
            <w:r w:rsidRPr="00E83C81">
              <w:t>1</w:t>
            </w:r>
          </w:p>
        </w:tc>
        <w:tc>
          <w:tcPr>
            <w:tcW w:w="349" w:type="pct"/>
            <w:noWrap/>
            <w:hideMark/>
          </w:tcPr>
          <w:p w:rsidR="0070371F" w:rsidRPr="00E83C81" w:rsidRDefault="0070371F" w:rsidP="001112E2">
            <w:pPr>
              <w:spacing w:before="100" w:beforeAutospacing="1" w:after="100" w:afterAutospacing="1"/>
              <w:jc w:val="center"/>
            </w:pPr>
            <w:r w:rsidRPr="00E83C81">
              <w:t>2</w:t>
            </w:r>
          </w:p>
        </w:tc>
      </w:tr>
      <w:tr w:rsidR="0070371F" w:rsidRPr="00E83C81" w:rsidTr="0070371F">
        <w:trPr>
          <w:trHeight w:val="296"/>
        </w:trPr>
        <w:tc>
          <w:tcPr>
            <w:tcW w:w="1203" w:type="pct"/>
            <w:tcBorders>
              <w:top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22. Enhanced risk disclosures by financial institutions</w:t>
            </w:r>
          </w:p>
        </w:tc>
        <w:tc>
          <w:tcPr>
            <w:tcW w:w="800" w:type="pct"/>
            <w:noWrap/>
            <w:hideMark/>
          </w:tcPr>
          <w:p w:rsidR="0070371F" w:rsidRPr="00E83C81" w:rsidRDefault="0070371F" w:rsidP="001112E2">
            <w:pPr>
              <w:spacing w:before="100" w:beforeAutospacing="1" w:after="100" w:afterAutospacing="1"/>
              <w:jc w:val="center"/>
            </w:pPr>
            <w:r w:rsidRPr="00E83C81">
              <w:t>23</w:t>
            </w:r>
          </w:p>
        </w:tc>
        <w:tc>
          <w:tcPr>
            <w:tcW w:w="583" w:type="pct"/>
            <w:noWrap/>
            <w:hideMark/>
          </w:tcPr>
          <w:p w:rsidR="0070371F" w:rsidRPr="00E83C81" w:rsidRDefault="0070371F" w:rsidP="001112E2">
            <w:pPr>
              <w:spacing w:before="100" w:beforeAutospacing="1" w:after="100" w:afterAutospacing="1"/>
              <w:jc w:val="center"/>
            </w:pPr>
            <w:r w:rsidRPr="00E83C81">
              <w:t>2</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r w:rsidR="0070371F" w:rsidRPr="00E83C81" w:rsidTr="0070371F">
        <w:trPr>
          <w:trHeight w:val="404"/>
        </w:trPr>
        <w:tc>
          <w:tcPr>
            <w:tcW w:w="1203" w:type="pct"/>
          </w:tcPr>
          <w:p w:rsidR="0070371F" w:rsidRPr="0070371F" w:rsidRDefault="0070371F" w:rsidP="001112E2">
            <w:pPr>
              <w:spacing w:before="100" w:beforeAutospacing="1" w:after="100" w:afterAutospacing="1"/>
            </w:pPr>
            <w:r w:rsidRPr="0070371F">
              <w:t>Strengthening deposit insurance</w:t>
            </w:r>
          </w:p>
        </w:tc>
        <w:tc>
          <w:tcPr>
            <w:tcW w:w="1505" w:type="pct"/>
            <w:hideMark/>
          </w:tcPr>
          <w:p w:rsidR="0070371F" w:rsidRPr="00E83C81" w:rsidRDefault="0070371F" w:rsidP="001112E2">
            <w:pPr>
              <w:spacing w:before="100" w:beforeAutospacing="1" w:after="100" w:afterAutospacing="1"/>
            </w:pPr>
            <w:r w:rsidRPr="00E83C81">
              <w:t>23. Strengthening of national deposit insurance arrangements</w:t>
            </w:r>
          </w:p>
        </w:tc>
        <w:tc>
          <w:tcPr>
            <w:tcW w:w="800" w:type="pct"/>
            <w:noWrap/>
            <w:hideMark/>
          </w:tcPr>
          <w:p w:rsidR="0070371F" w:rsidRPr="00E83C81" w:rsidRDefault="0070371F" w:rsidP="001112E2">
            <w:pPr>
              <w:spacing w:before="100" w:beforeAutospacing="1" w:after="100" w:afterAutospacing="1"/>
              <w:jc w:val="center"/>
            </w:pPr>
            <w:r w:rsidRPr="00E83C81">
              <w:t>10</w:t>
            </w:r>
          </w:p>
        </w:tc>
        <w:tc>
          <w:tcPr>
            <w:tcW w:w="583" w:type="pct"/>
            <w:noWrap/>
            <w:hideMark/>
          </w:tcPr>
          <w:p w:rsidR="0070371F" w:rsidRPr="00E83C81" w:rsidRDefault="0070371F" w:rsidP="001112E2">
            <w:pPr>
              <w:spacing w:before="100" w:beforeAutospacing="1" w:after="100" w:afterAutospacing="1"/>
              <w:jc w:val="center"/>
            </w:pPr>
            <w:r w:rsidRPr="00E83C81">
              <w:t>10</w:t>
            </w:r>
          </w:p>
        </w:tc>
        <w:tc>
          <w:tcPr>
            <w:tcW w:w="560" w:type="pct"/>
            <w:noWrap/>
            <w:hideMark/>
          </w:tcPr>
          <w:p w:rsidR="0070371F" w:rsidRPr="00E83C81" w:rsidRDefault="0070371F" w:rsidP="001112E2">
            <w:pPr>
              <w:spacing w:before="100" w:beforeAutospacing="1" w:after="100" w:afterAutospacing="1"/>
              <w:jc w:val="center"/>
            </w:pPr>
            <w:r w:rsidRPr="00E83C81">
              <w:t>2</w:t>
            </w:r>
          </w:p>
        </w:tc>
        <w:tc>
          <w:tcPr>
            <w:tcW w:w="349" w:type="pct"/>
            <w:noWrap/>
            <w:hideMark/>
          </w:tcPr>
          <w:p w:rsidR="0070371F" w:rsidRPr="00E83C81" w:rsidRDefault="0070371F" w:rsidP="001112E2">
            <w:pPr>
              <w:spacing w:before="100" w:beforeAutospacing="1" w:after="100" w:afterAutospacing="1"/>
              <w:jc w:val="center"/>
            </w:pPr>
            <w:r w:rsidRPr="00E83C81">
              <w:t>3</w:t>
            </w:r>
          </w:p>
        </w:tc>
      </w:tr>
      <w:tr w:rsidR="0070371F" w:rsidRPr="00E83C81" w:rsidTr="0070371F">
        <w:trPr>
          <w:trHeight w:val="431"/>
        </w:trPr>
        <w:tc>
          <w:tcPr>
            <w:tcW w:w="1203" w:type="pct"/>
            <w:tcBorders>
              <w:bottom w:val="nil"/>
            </w:tcBorders>
          </w:tcPr>
          <w:p w:rsidR="0070371F" w:rsidRPr="0070371F" w:rsidRDefault="0070371F" w:rsidP="001112E2">
            <w:pPr>
              <w:spacing w:before="100" w:beforeAutospacing="1" w:after="100" w:afterAutospacing="1"/>
            </w:pPr>
            <w:r w:rsidRPr="0070371F">
              <w:t>Safeguarding the integrity and efficiency of financial markets</w:t>
            </w:r>
          </w:p>
        </w:tc>
        <w:tc>
          <w:tcPr>
            <w:tcW w:w="1505" w:type="pct"/>
            <w:hideMark/>
          </w:tcPr>
          <w:p w:rsidR="0070371F" w:rsidRPr="00E83C81" w:rsidRDefault="0070371F" w:rsidP="001112E2">
            <w:pPr>
              <w:spacing w:before="100" w:beforeAutospacing="1" w:after="100" w:afterAutospacing="1"/>
            </w:pPr>
            <w:r w:rsidRPr="00E83C81">
              <w:t>24. Enhancing market integrity and efficiency</w:t>
            </w:r>
          </w:p>
        </w:tc>
        <w:tc>
          <w:tcPr>
            <w:tcW w:w="800" w:type="pct"/>
            <w:noWrap/>
            <w:hideMark/>
          </w:tcPr>
          <w:p w:rsidR="0070371F" w:rsidRPr="00E83C81" w:rsidRDefault="0070371F" w:rsidP="001112E2">
            <w:pPr>
              <w:spacing w:before="100" w:beforeAutospacing="1" w:after="100" w:afterAutospacing="1"/>
              <w:jc w:val="center"/>
            </w:pPr>
            <w:r w:rsidRPr="00E83C81">
              <w:t>12</w:t>
            </w:r>
          </w:p>
        </w:tc>
        <w:tc>
          <w:tcPr>
            <w:tcW w:w="583" w:type="pct"/>
            <w:noWrap/>
            <w:hideMark/>
          </w:tcPr>
          <w:p w:rsidR="0070371F" w:rsidRPr="00E83C81" w:rsidRDefault="0070371F" w:rsidP="001112E2">
            <w:pPr>
              <w:spacing w:before="100" w:beforeAutospacing="1" w:after="100" w:afterAutospacing="1"/>
              <w:jc w:val="center"/>
            </w:pPr>
            <w:r w:rsidRPr="00E83C81">
              <w:t>9</w:t>
            </w:r>
          </w:p>
        </w:tc>
        <w:tc>
          <w:tcPr>
            <w:tcW w:w="560" w:type="pct"/>
            <w:noWrap/>
            <w:hideMark/>
          </w:tcPr>
          <w:p w:rsidR="0070371F" w:rsidRPr="00E83C81" w:rsidRDefault="0070371F" w:rsidP="001112E2">
            <w:pPr>
              <w:spacing w:before="100" w:beforeAutospacing="1" w:after="100" w:afterAutospacing="1"/>
              <w:jc w:val="center"/>
            </w:pPr>
            <w:r w:rsidRPr="00E83C81">
              <w:t>1</w:t>
            </w:r>
          </w:p>
        </w:tc>
        <w:tc>
          <w:tcPr>
            <w:tcW w:w="349" w:type="pct"/>
            <w:noWrap/>
            <w:hideMark/>
          </w:tcPr>
          <w:p w:rsidR="0070371F" w:rsidRPr="00E83C81" w:rsidRDefault="0070371F" w:rsidP="001112E2">
            <w:pPr>
              <w:spacing w:before="100" w:beforeAutospacing="1" w:after="100" w:afterAutospacing="1"/>
              <w:jc w:val="center"/>
            </w:pPr>
            <w:r w:rsidRPr="00E83C81">
              <w:t>3</w:t>
            </w:r>
          </w:p>
        </w:tc>
      </w:tr>
      <w:tr w:rsidR="0070371F" w:rsidRPr="00E83C81" w:rsidTr="0070371F">
        <w:trPr>
          <w:trHeight w:val="395"/>
        </w:trPr>
        <w:tc>
          <w:tcPr>
            <w:tcW w:w="1203" w:type="pct"/>
            <w:tcBorders>
              <w:top w:val="nil"/>
              <w:bottom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25. Enhanced market transparency in commodity markets</w:t>
            </w:r>
          </w:p>
        </w:tc>
        <w:tc>
          <w:tcPr>
            <w:tcW w:w="800" w:type="pct"/>
            <w:noWrap/>
            <w:hideMark/>
          </w:tcPr>
          <w:p w:rsidR="0070371F" w:rsidRPr="00E83C81" w:rsidRDefault="0070371F" w:rsidP="001112E2">
            <w:pPr>
              <w:spacing w:before="100" w:beforeAutospacing="1" w:after="100" w:afterAutospacing="1"/>
              <w:jc w:val="center"/>
            </w:pPr>
            <w:r w:rsidRPr="00E83C81">
              <w:t>10</w:t>
            </w:r>
          </w:p>
        </w:tc>
        <w:tc>
          <w:tcPr>
            <w:tcW w:w="583" w:type="pct"/>
            <w:noWrap/>
            <w:hideMark/>
          </w:tcPr>
          <w:p w:rsidR="0070371F" w:rsidRPr="00E83C81" w:rsidRDefault="0070371F" w:rsidP="001112E2">
            <w:pPr>
              <w:spacing w:before="100" w:beforeAutospacing="1" w:after="100" w:afterAutospacing="1"/>
              <w:jc w:val="center"/>
            </w:pPr>
            <w:r w:rsidRPr="00E83C81">
              <w:t>9</w:t>
            </w:r>
          </w:p>
        </w:tc>
        <w:tc>
          <w:tcPr>
            <w:tcW w:w="560" w:type="pct"/>
            <w:noWrap/>
            <w:hideMark/>
          </w:tcPr>
          <w:p w:rsidR="0070371F" w:rsidRPr="00E83C81" w:rsidRDefault="0070371F" w:rsidP="001112E2">
            <w:pPr>
              <w:spacing w:before="100" w:beforeAutospacing="1" w:after="100" w:afterAutospacing="1"/>
              <w:jc w:val="center"/>
            </w:pPr>
            <w:r w:rsidRPr="00E83C81">
              <w:t>3</w:t>
            </w:r>
          </w:p>
        </w:tc>
        <w:tc>
          <w:tcPr>
            <w:tcW w:w="349" w:type="pct"/>
            <w:noWrap/>
            <w:hideMark/>
          </w:tcPr>
          <w:p w:rsidR="0070371F" w:rsidRPr="00E83C81" w:rsidRDefault="0070371F" w:rsidP="001112E2">
            <w:pPr>
              <w:spacing w:before="100" w:beforeAutospacing="1" w:after="100" w:afterAutospacing="1"/>
              <w:jc w:val="center"/>
            </w:pPr>
            <w:r w:rsidRPr="00E83C81">
              <w:t>3</w:t>
            </w:r>
          </w:p>
        </w:tc>
      </w:tr>
      <w:tr w:rsidR="0070371F" w:rsidRPr="00E83C81" w:rsidTr="0070371F">
        <w:trPr>
          <w:trHeight w:val="332"/>
        </w:trPr>
        <w:tc>
          <w:tcPr>
            <w:tcW w:w="1203" w:type="pct"/>
            <w:tcBorders>
              <w:top w:val="nil"/>
            </w:tcBorders>
          </w:tcPr>
          <w:p w:rsidR="0070371F" w:rsidRPr="0070371F" w:rsidRDefault="0070371F" w:rsidP="001112E2">
            <w:pPr>
              <w:spacing w:before="100" w:beforeAutospacing="1" w:after="100" w:afterAutospacing="1"/>
            </w:pPr>
          </w:p>
        </w:tc>
        <w:tc>
          <w:tcPr>
            <w:tcW w:w="1505" w:type="pct"/>
            <w:hideMark/>
          </w:tcPr>
          <w:p w:rsidR="0070371F" w:rsidRPr="00E83C81" w:rsidRDefault="0070371F" w:rsidP="001112E2">
            <w:pPr>
              <w:spacing w:before="100" w:beforeAutospacing="1" w:after="100" w:afterAutospacing="1"/>
            </w:pPr>
            <w:r w:rsidRPr="00E83C81">
              <w:t>26. Legal Entity Identifier</w:t>
            </w:r>
          </w:p>
        </w:tc>
        <w:tc>
          <w:tcPr>
            <w:tcW w:w="800" w:type="pct"/>
            <w:noWrap/>
            <w:hideMark/>
          </w:tcPr>
          <w:p w:rsidR="0070371F" w:rsidRPr="00E83C81" w:rsidRDefault="0070371F" w:rsidP="001112E2">
            <w:pPr>
              <w:spacing w:before="100" w:beforeAutospacing="1" w:after="100" w:afterAutospacing="1"/>
              <w:jc w:val="center"/>
            </w:pPr>
            <w:r w:rsidRPr="00E83C81">
              <w:t>11</w:t>
            </w:r>
          </w:p>
        </w:tc>
        <w:tc>
          <w:tcPr>
            <w:tcW w:w="583" w:type="pct"/>
            <w:noWrap/>
            <w:hideMark/>
          </w:tcPr>
          <w:p w:rsidR="0070371F" w:rsidRPr="00E83C81" w:rsidRDefault="0070371F" w:rsidP="001112E2">
            <w:pPr>
              <w:spacing w:before="100" w:beforeAutospacing="1" w:after="100" w:afterAutospacing="1"/>
              <w:jc w:val="center"/>
            </w:pPr>
            <w:r w:rsidRPr="00E83C81">
              <w:t>12</w:t>
            </w:r>
          </w:p>
        </w:tc>
        <w:tc>
          <w:tcPr>
            <w:tcW w:w="560" w:type="pct"/>
            <w:noWrap/>
            <w:hideMark/>
          </w:tcPr>
          <w:p w:rsidR="0070371F" w:rsidRPr="00E83C81" w:rsidRDefault="0070371F" w:rsidP="001112E2">
            <w:pPr>
              <w:spacing w:before="100" w:beforeAutospacing="1" w:after="100" w:afterAutospacing="1"/>
              <w:jc w:val="center"/>
            </w:pPr>
            <w:r w:rsidRPr="00E83C81">
              <w:t>1</w:t>
            </w:r>
          </w:p>
        </w:tc>
        <w:tc>
          <w:tcPr>
            <w:tcW w:w="349" w:type="pct"/>
            <w:noWrap/>
            <w:hideMark/>
          </w:tcPr>
          <w:p w:rsidR="0070371F" w:rsidRPr="00E83C81" w:rsidRDefault="0070371F" w:rsidP="001112E2">
            <w:pPr>
              <w:spacing w:before="100" w:beforeAutospacing="1" w:after="100" w:afterAutospacing="1"/>
              <w:jc w:val="center"/>
            </w:pPr>
            <w:r w:rsidRPr="00E83C81">
              <w:t>1</w:t>
            </w:r>
          </w:p>
        </w:tc>
      </w:tr>
      <w:tr w:rsidR="0070371F" w:rsidRPr="00E83C81" w:rsidTr="0070371F">
        <w:trPr>
          <w:trHeight w:val="530"/>
        </w:trPr>
        <w:tc>
          <w:tcPr>
            <w:tcW w:w="1203" w:type="pct"/>
          </w:tcPr>
          <w:p w:rsidR="0070371F" w:rsidRPr="0070371F" w:rsidRDefault="0070371F" w:rsidP="001112E2">
            <w:pPr>
              <w:spacing w:before="100" w:beforeAutospacing="1" w:after="100" w:afterAutospacing="1"/>
            </w:pPr>
            <w:r w:rsidRPr="0070371F">
              <w:t>Enhancing financial consumer protection</w:t>
            </w:r>
          </w:p>
        </w:tc>
        <w:tc>
          <w:tcPr>
            <w:tcW w:w="1505" w:type="pct"/>
            <w:hideMark/>
          </w:tcPr>
          <w:p w:rsidR="0070371F" w:rsidRPr="00E83C81" w:rsidRDefault="0070371F" w:rsidP="001112E2">
            <w:pPr>
              <w:spacing w:before="100" w:beforeAutospacing="1" w:after="100" w:afterAutospacing="1"/>
            </w:pPr>
            <w:r w:rsidRPr="00E83C81">
              <w:t>27. Enhancing financial consumer protection</w:t>
            </w:r>
          </w:p>
        </w:tc>
        <w:tc>
          <w:tcPr>
            <w:tcW w:w="800" w:type="pct"/>
            <w:noWrap/>
            <w:hideMark/>
          </w:tcPr>
          <w:p w:rsidR="0070371F" w:rsidRPr="00E83C81" w:rsidRDefault="0070371F" w:rsidP="001112E2">
            <w:pPr>
              <w:spacing w:before="100" w:beforeAutospacing="1" w:after="100" w:afterAutospacing="1"/>
              <w:jc w:val="center"/>
            </w:pPr>
            <w:r w:rsidRPr="00E83C81">
              <w:t>15</w:t>
            </w:r>
          </w:p>
        </w:tc>
        <w:tc>
          <w:tcPr>
            <w:tcW w:w="583" w:type="pct"/>
            <w:noWrap/>
            <w:hideMark/>
          </w:tcPr>
          <w:p w:rsidR="0070371F" w:rsidRPr="00E83C81" w:rsidRDefault="0070371F" w:rsidP="001112E2">
            <w:pPr>
              <w:spacing w:before="100" w:beforeAutospacing="1" w:after="100" w:afterAutospacing="1"/>
              <w:jc w:val="center"/>
            </w:pPr>
            <w:r w:rsidRPr="00E83C81">
              <w:t>10</w:t>
            </w:r>
          </w:p>
        </w:tc>
        <w:tc>
          <w:tcPr>
            <w:tcW w:w="560" w:type="pct"/>
            <w:noWrap/>
            <w:hideMark/>
          </w:tcPr>
          <w:p w:rsidR="0070371F" w:rsidRPr="00E83C81" w:rsidRDefault="0070371F" w:rsidP="001112E2">
            <w:pPr>
              <w:spacing w:before="100" w:beforeAutospacing="1" w:after="100" w:afterAutospacing="1"/>
              <w:jc w:val="center"/>
            </w:pPr>
            <w:r w:rsidRPr="00E83C81">
              <w:t>0</w:t>
            </w:r>
          </w:p>
        </w:tc>
        <w:tc>
          <w:tcPr>
            <w:tcW w:w="349" w:type="pct"/>
            <w:noWrap/>
            <w:hideMark/>
          </w:tcPr>
          <w:p w:rsidR="0070371F" w:rsidRPr="00E83C81" w:rsidRDefault="0070371F" w:rsidP="001112E2">
            <w:pPr>
              <w:spacing w:before="100" w:beforeAutospacing="1" w:after="100" w:afterAutospacing="1"/>
              <w:jc w:val="center"/>
            </w:pPr>
            <w:r w:rsidRPr="00E83C81">
              <w:t>0</w:t>
            </w:r>
          </w:p>
        </w:tc>
      </w:tr>
    </w:tbl>
    <w:p w:rsidR="003F0B48" w:rsidRDefault="003F0B48" w:rsidP="003F0B48">
      <w:pPr>
        <w:pStyle w:val="BodyText"/>
        <w:tabs>
          <w:tab w:val="left" w:pos="3150"/>
        </w:tabs>
        <w:spacing w:before="0" w:after="120"/>
        <w:rPr>
          <w:sz w:val="18"/>
          <w:szCs w:val="18"/>
        </w:rPr>
      </w:pPr>
    </w:p>
    <w:p w:rsidR="0070371F" w:rsidRDefault="0070371F" w:rsidP="003F0B48">
      <w:pPr>
        <w:pStyle w:val="BodyText"/>
        <w:tabs>
          <w:tab w:val="left" w:pos="3150"/>
        </w:tabs>
        <w:spacing w:before="0" w:after="120"/>
        <w:rPr>
          <w:sz w:val="18"/>
          <w:szCs w:val="18"/>
        </w:rPr>
      </w:pPr>
      <w:r w:rsidRPr="0070371F">
        <w:rPr>
          <w:sz w:val="18"/>
          <w:szCs w:val="18"/>
        </w:rPr>
        <w:t>Source: FSB.</w:t>
      </w:r>
      <w:r w:rsidRPr="0070371F">
        <w:rPr>
          <w:sz w:val="18"/>
          <w:szCs w:val="18"/>
        </w:rPr>
        <w:br/>
      </w:r>
      <w:r w:rsidRPr="0070371F">
        <w:rPr>
          <w:sz w:val="18"/>
          <w:szCs w:val="18"/>
        </w:rPr>
        <w:br/>
      </w:r>
      <w:proofErr w:type="spellStart"/>
      <w:proofErr w:type="gramStart"/>
      <w:r w:rsidRPr="0070371F">
        <w:rPr>
          <w:sz w:val="18"/>
          <w:szCs w:val="18"/>
          <w:vertAlign w:val="superscript"/>
        </w:rPr>
        <w:t>a</w:t>
      </w:r>
      <w:r w:rsidRPr="0070371F">
        <w:rPr>
          <w:sz w:val="18"/>
          <w:szCs w:val="18"/>
        </w:rPr>
        <w:t>The</w:t>
      </w:r>
      <w:proofErr w:type="spellEnd"/>
      <w:proofErr w:type="gramEnd"/>
      <w:r w:rsidRPr="0070371F">
        <w:rPr>
          <w:sz w:val="18"/>
          <w:szCs w:val="18"/>
        </w:rPr>
        <w:t xml:space="preserve"> data are self-reported by FSB member jurisdictions, and FSB generally does not evaluate the survey responses to verify the accuracy or assess the effectiveness of implementation.</w:t>
      </w:r>
    </w:p>
    <w:p w:rsidR="0070371F" w:rsidRPr="0070371F" w:rsidRDefault="0070371F" w:rsidP="003F0B48">
      <w:pPr>
        <w:pStyle w:val="BodyText"/>
        <w:tabs>
          <w:tab w:val="left" w:pos="3150"/>
        </w:tabs>
        <w:spacing w:before="0" w:after="120"/>
        <w:rPr>
          <w:sz w:val="18"/>
          <w:szCs w:val="18"/>
        </w:rPr>
      </w:pPr>
      <w:proofErr w:type="spellStart"/>
      <w:proofErr w:type="gramStart"/>
      <w:r w:rsidRPr="0070371F">
        <w:rPr>
          <w:sz w:val="18"/>
          <w:szCs w:val="18"/>
          <w:vertAlign w:val="superscript"/>
        </w:rPr>
        <w:t>b</w:t>
      </w:r>
      <w:r w:rsidRPr="0070371F">
        <w:rPr>
          <w:sz w:val="18"/>
          <w:szCs w:val="18"/>
        </w:rPr>
        <w:t>United</w:t>
      </w:r>
      <w:proofErr w:type="spellEnd"/>
      <w:proofErr w:type="gramEnd"/>
      <w:r w:rsidRPr="0070371F">
        <w:rPr>
          <w:sz w:val="18"/>
          <w:szCs w:val="18"/>
        </w:rPr>
        <w:t xml:space="preserve"> Kingdom did not submit a response.</w:t>
      </w:r>
      <w:r w:rsidRPr="0070371F">
        <w:rPr>
          <w:sz w:val="18"/>
          <w:szCs w:val="18"/>
        </w:rPr>
        <w:br/>
      </w:r>
      <w:r w:rsidRPr="0070371F">
        <w:rPr>
          <w:sz w:val="18"/>
          <w:szCs w:val="18"/>
        </w:rPr>
        <w:br/>
      </w:r>
      <w:proofErr w:type="spellStart"/>
      <w:proofErr w:type="gramStart"/>
      <w:r w:rsidRPr="0070371F">
        <w:rPr>
          <w:sz w:val="18"/>
          <w:szCs w:val="18"/>
          <w:vertAlign w:val="superscript"/>
        </w:rPr>
        <w:t>c</w:t>
      </w:r>
      <w:r w:rsidRPr="0070371F">
        <w:rPr>
          <w:sz w:val="18"/>
          <w:szCs w:val="18"/>
        </w:rPr>
        <w:t>FSB</w:t>
      </w:r>
      <w:proofErr w:type="spellEnd"/>
      <w:proofErr w:type="gramEnd"/>
      <w:r w:rsidRPr="0070371F">
        <w:rPr>
          <w:sz w:val="18"/>
          <w:szCs w:val="18"/>
        </w:rPr>
        <w:t xml:space="preserve"> did not collect information for its members on this G20 commitment, because it was conducting a thematic peer review on this issue. </w:t>
      </w:r>
    </w:p>
    <w:p w:rsidR="00DC7382" w:rsidRDefault="00DC7382" w:rsidP="007C647D">
      <w:pPr>
        <w:pStyle w:val="BodyText"/>
        <w:spacing w:before="0" w:after="240"/>
      </w:pPr>
    </w:p>
    <w:p w:rsidR="00605C22" w:rsidRDefault="00605C22" w:rsidP="007C647D">
      <w:pPr>
        <w:pStyle w:val="BodyText"/>
        <w:spacing w:before="0" w:after="240"/>
      </w:pPr>
      <w:r w:rsidRPr="00605C22">
        <w:t xml:space="preserve">Importantly, the </w:t>
      </w:r>
      <w:r>
        <w:t xml:space="preserve">survey </w:t>
      </w:r>
      <w:r w:rsidRPr="00605C22">
        <w:t>data are self-reported by FSB member</w:t>
      </w:r>
      <w:r w:rsidR="00531C1C">
        <w:t xml:space="preserve"> jurisdictions</w:t>
      </w:r>
      <w:r w:rsidRPr="00605C22">
        <w:t>. According to an FSB official, the FSB Secretariat has followed up bilaterally in a small number of cases to collect additional information and clarify certain responses, but FSB generally does not evaluate the survey responses to verify the accuracy or assess the effectiveness of implementation. As a result, the survey findings do not allow straightforward comparisons between jurisdictions or across reform areas.</w:t>
      </w:r>
    </w:p>
    <w:p w:rsidR="00B459F4" w:rsidRDefault="00B459F4">
      <w:pPr>
        <w:spacing w:after="220"/>
        <w:rPr>
          <w:b/>
        </w:rPr>
      </w:pPr>
      <w:r>
        <w:rPr>
          <w:b/>
        </w:rPr>
        <w:br w:type="page"/>
      </w:r>
    </w:p>
    <w:p w:rsidR="002B3F1A" w:rsidRPr="00B459F4" w:rsidRDefault="0015503C" w:rsidP="00346E4C">
      <w:pPr>
        <w:pStyle w:val="BodyText"/>
        <w:spacing w:before="0" w:after="240"/>
        <w:rPr>
          <w:b/>
        </w:rPr>
      </w:pPr>
      <w:r w:rsidRPr="00B459F4">
        <w:rPr>
          <w:b/>
        </w:rPr>
        <w:t xml:space="preserve">Appendix II: </w:t>
      </w:r>
      <w:r w:rsidR="00395F63" w:rsidRPr="00B459F4">
        <w:rPr>
          <w:b/>
        </w:rPr>
        <w:t xml:space="preserve">Reviews Conducted by the </w:t>
      </w:r>
      <w:r w:rsidR="00E2502B" w:rsidRPr="00B459F4">
        <w:rPr>
          <w:b/>
        </w:rPr>
        <w:t>International Monetary Fund (</w:t>
      </w:r>
      <w:r w:rsidR="002B3F1A" w:rsidRPr="00B459F4">
        <w:rPr>
          <w:b/>
        </w:rPr>
        <w:t>IMF</w:t>
      </w:r>
      <w:r w:rsidR="00E2502B" w:rsidRPr="00B459F4">
        <w:rPr>
          <w:b/>
        </w:rPr>
        <w:t>), Financial Stability Board (</w:t>
      </w:r>
      <w:r w:rsidR="002B3F1A" w:rsidRPr="00B459F4">
        <w:rPr>
          <w:b/>
        </w:rPr>
        <w:t>FSB</w:t>
      </w:r>
      <w:r w:rsidR="00E2502B" w:rsidRPr="00B459F4">
        <w:rPr>
          <w:b/>
        </w:rPr>
        <w:t xml:space="preserve">), and Basel Committee </w:t>
      </w:r>
      <w:r w:rsidR="002B3F1A" w:rsidRPr="00B459F4">
        <w:rPr>
          <w:b/>
        </w:rPr>
        <w:t xml:space="preserve">to Assess Reform Implementation and Effectiveness </w:t>
      </w:r>
    </w:p>
    <w:p w:rsidR="002B3F1A" w:rsidRDefault="002B3F1A" w:rsidP="007C647D">
      <w:pPr>
        <w:pStyle w:val="BodyText"/>
        <w:spacing w:before="0" w:after="240"/>
      </w:pPr>
      <w:r w:rsidRPr="002B3F1A">
        <w:t>IMF</w:t>
      </w:r>
      <w:r w:rsidR="00E2502B">
        <w:t xml:space="preserve">, </w:t>
      </w:r>
      <w:r w:rsidRPr="002B3F1A">
        <w:t>FSB</w:t>
      </w:r>
      <w:r w:rsidR="00E2502B">
        <w:t>, and the Basel Committee</w:t>
      </w:r>
      <w:r w:rsidRPr="002B3F1A">
        <w:t xml:space="preserve"> have programs to monitor the implementation of international financial standards and review the effectiveness of the supervision. These programs include IMF and the World Bank’s Financial Sector Assessment Program (FSAP) assessments, FSB</w:t>
      </w:r>
      <w:r w:rsidR="00E2502B">
        <w:t>’s</w:t>
      </w:r>
      <w:r w:rsidRPr="002B3F1A">
        <w:t xml:space="preserve"> thematic and country peer reviews</w:t>
      </w:r>
      <w:r w:rsidR="00E2502B">
        <w:t>, and the Basel Committee’s jurisdictional and thematic reviews</w:t>
      </w:r>
      <w:r w:rsidRPr="002B3F1A">
        <w:t>.</w:t>
      </w:r>
    </w:p>
    <w:p w:rsidR="00F80397" w:rsidRDefault="00F80397" w:rsidP="00E704AD">
      <w:pPr>
        <w:pStyle w:val="BodyText"/>
        <w:numPr>
          <w:ilvl w:val="0"/>
          <w:numId w:val="41"/>
        </w:numPr>
        <w:spacing w:before="0" w:after="240"/>
      </w:pPr>
      <w:r w:rsidRPr="00F80397">
        <w:t>FSAP provides the framework for comprehensive and in-depth assessments of a country’s financial sector</w:t>
      </w:r>
      <w:r>
        <w:t>. I</w:t>
      </w:r>
      <w:r w:rsidRPr="00F80397">
        <w:t>n 2010</w:t>
      </w:r>
      <w:r>
        <w:t>,</w:t>
      </w:r>
      <w:r w:rsidRPr="00F80397">
        <w:t xml:space="preserve"> IMF made financial stability assessments under FSAP mandatory for members with systemically important financial sectors. As of November 2013, IMF has identified 29 jurisdictions</w:t>
      </w:r>
      <w:r>
        <w:t xml:space="preserve"> </w:t>
      </w:r>
      <w:r w:rsidRPr="00F80397">
        <w:t>as having such a sector</w:t>
      </w:r>
      <w:r>
        <w:t>.</w:t>
      </w:r>
      <w:r w:rsidR="00E704AD">
        <w:rPr>
          <w:rStyle w:val="FootnoteReference"/>
        </w:rPr>
        <w:footnoteReference w:id="5"/>
      </w:r>
      <w:r w:rsidR="00E704AD">
        <w:t xml:space="preserve"> Since 2013, IMF has conducted FSAPs on</w:t>
      </w:r>
      <w:r w:rsidR="00B97BD0">
        <w:t>, among others, Austria, Brazil, Belgium, Canada, France, Hong Kong SAR, Italy, India, Korea, Poland, Singapore, and Switzerland.</w:t>
      </w:r>
      <w:r w:rsidR="0022072B">
        <w:t xml:space="preserve"> (These FSAPs are available at </w:t>
      </w:r>
      <w:hyperlink r:id="rId10" w:history="1">
        <w:r w:rsidR="0022072B" w:rsidRPr="008D0ECA">
          <w:rPr>
            <w:rStyle w:val="Hyperlink"/>
          </w:rPr>
          <w:t>http://www.imf.org/external/np/fsap/fssa.aspx</w:t>
        </w:r>
      </w:hyperlink>
      <w:r w:rsidR="0022072B">
        <w:t xml:space="preserve">.) </w:t>
      </w:r>
    </w:p>
    <w:p w:rsidR="00E704AD" w:rsidRDefault="00F80397" w:rsidP="00F80397">
      <w:pPr>
        <w:pStyle w:val="BodyText"/>
        <w:numPr>
          <w:ilvl w:val="0"/>
          <w:numId w:val="40"/>
        </w:numPr>
        <w:spacing w:before="0" w:after="240"/>
      </w:pPr>
      <w:r w:rsidRPr="00F80397">
        <w:t xml:space="preserve">FSB’s country </w:t>
      </w:r>
      <w:r>
        <w:t xml:space="preserve">peer </w:t>
      </w:r>
      <w:r w:rsidRPr="00F80397">
        <w:t>reviews focus on the implementation of international standards and their effectiveness nationally. The reviews examine steps taken or planned by national authorities to address FSAP and ROSC recommendations. (FSB peer reviews take place 2 to 3 years following an FSAP.)</w:t>
      </w:r>
      <w:r>
        <w:t xml:space="preserve"> FSB has completed peer reviews of </w:t>
      </w:r>
      <w:r w:rsidR="00E704AD" w:rsidRPr="00E704AD">
        <w:t>Australia</w:t>
      </w:r>
      <w:r w:rsidR="00E704AD">
        <w:t xml:space="preserve">, </w:t>
      </w:r>
      <w:r w:rsidR="00E704AD" w:rsidRPr="00E704AD">
        <w:t>Canada,</w:t>
      </w:r>
      <w:r w:rsidR="00E704AD">
        <w:t xml:space="preserve"> </w:t>
      </w:r>
      <w:r w:rsidR="00E704AD" w:rsidRPr="00E704AD">
        <w:t>Germany, Indonesia, Italy, Mexico</w:t>
      </w:r>
      <w:r w:rsidR="00E704AD">
        <w:t xml:space="preserve">, </w:t>
      </w:r>
      <w:r w:rsidR="00E704AD" w:rsidRPr="00E704AD">
        <w:t xml:space="preserve">South Africa, Spain, Switzerland, the United Kingdom, </w:t>
      </w:r>
      <w:r w:rsidR="00E704AD">
        <w:t>and the United States.</w:t>
      </w:r>
      <w:r w:rsidR="0022072B">
        <w:t xml:space="preserve"> (These peer review reports are available at </w:t>
      </w:r>
      <w:hyperlink r:id="rId11" w:history="1">
        <w:r w:rsidR="0022072B" w:rsidRPr="008D0ECA">
          <w:rPr>
            <w:rStyle w:val="Hyperlink"/>
          </w:rPr>
          <w:t>http://www.financialstabilityboard.org/list/fsb_publications/tid_141/index.htm</w:t>
        </w:r>
      </w:hyperlink>
      <w:r w:rsidR="0022072B">
        <w:t xml:space="preserve">.) </w:t>
      </w:r>
    </w:p>
    <w:p w:rsidR="00417766" w:rsidRDefault="00E704AD" w:rsidP="00346E4C">
      <w:pPr>
        <w:pStyle w:val="BodyText"/>
        <w:numPr>
          <w:ilvl w:val="0"/>
          <w:numId w:val="40"/>
        </w:numPr>
        <w:spacing w:before="0" w:after="240"/>
      </w:pPr>
      <w:r>
        <w:t>FSB’s t</w:t>
      </w:r>
      <w:r w:rsidRPr="00E704AD">
        <w:t xml:space="preserve">hematic </w:t>
      </w:r>
      <w:r>
        <w:t xml:space="preserve">peer </w:t>
      </w:r>
      <w:r w:rsidRPr="00E704AD">
        <w:t>reviews focus on the implementation and effectiveness of FSB-endorsed international standards deemed important for global financial stability. The objectives of the reviews are to encourage consistent cross-country and cross-sector implementation, evaluate (where possible) the extent to which standards have had their intended results, and identify gaps and weaknesses in reviewed areas.</w:t>
      </w:r>
      <w:r>
        <w:t xml:space="preserve"> FSB has completed thematic reviews on r</w:t>
      </w:r>
      <w:r w:rsidR="00F80397">
        <w:t xml:space="preserve">educing </w:t>
      </w:r>
      <w:r>
        <w:t>r</w:t>
      </w:r>
      <w:r w:rsidR="00F80397">
        <w:t xml:space="preserve">eliance on CRA </w:t>
      </w:r>
      <w:r>
        <w:t>r</w:t>
      </w:r>
      <w:r w:rsidR="00F80397">
        <w:t>atings</w:t>
      </w:r>
      <w:r>
        <w:t>, resolution regimes, risk governance,</w:t>
      </w:r>
      <w:r w:rsidRPr="00E704AD">
        <w:t xml:space="preserve"> </w:t>
      </w:r>
      <w:r>
        <w:t>deposit insurance systems, compensation, and risk disclosure practices, m</w:t>
      </w:r>
      <w:r w:rsidR="00F80397">
        <w:t xml:space="preserve">ortgage </w:t>
      </w:r>
      <w:r>
        <w:t>u</w:t>
      </w:r>
      <w:r w:rsidR="00F80397">
        <w:t xml:space="preserve">nderwriting and </w:t>
      </w:r>
      <w:r>
        <w:t>o</w:t>
      </w:r>
      <w:r w:rsidR="00F80397">
        <w:t xml:space="preserve">rigination </w:t>
      </w:r>
      <w:r>
        <w:t>p</w:t>
      </w:r>
      <w:r w:rsidR="00F80397">
        <w:t>ractices</w:t>
      </w:r>
      <w:r>
        <w:t>.</w:t>
      </w:r>
      <w:r w:rsidR="0022072B" w:rsidRPr="0022072B">
        <w:t xml:space="preserve"> </w:t>
      </w:r>
    </w:p>
    <w:p w:rsidR="00E2502B" w:rsidRDefault="00E2502B" w:rsidP="00E2502B">
      <w:pPr>
        <w:pStyle w:val="BodyText"/>
        <w:numPr>
          <w:ilvl w:val="0"/>
          <w:numId w:val="40"/>
        </w:numPr>
        <w:spacing w:before="0" w:after="240"/>
      </w:pPr>
      <w:r w:rsidRPr="00E02C17">
        <w:t xml:space="preserve">In 2012, the Basel Committee created its Regulatory Consistency Assessment Program (RCAP) to monitor progress in introducing regulations, assess their consistency (jurisdictional assessments), and analyze regulatory outcomes (thematic assessments). The committee has completed six jurisdictional assessments—Australia, Brazil, China, Japan, Singapore and Switzerland—in which it found each jurisdiction’s regulations to be “compliant” overall with the Basel minimum standards. The committee is currently assessing Canada, the European Union, and the United States. In addition, the committee has completed three thematic assessments on the risk-weighting of assets by banks. The assessments found considerable variation in risk weighted assets across banks, in part attributed to differences in supervisory practices. </w:t>
      </w:r>
    </w:p>
    <w:sectPr w:rsidR="00E2502B" w:rsidSect="00F04D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55" w:rsidRDefault="00D91955" w:rsidP="00915C86">
      <w:pPr>
        <w:spacing w:before="0"/>
      </w:pPr>
      <w:r>
        <w:separator/>
      </w:r>
    </w:p>
  </w:endnote>
  <w:endnote w:type="continuationSeparator" w:id="0">
    <w:p w:rsidR="00D91955" w:rsidRDefault="00D91955" w:rsidP="00915C8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rsidP="00026965">
    <w:pPr>
      <w:pStyle w:val="Footer"/>
    </w:pPr>
    <w:r>
      <w:t>Document Number: 7174292</w:t>
    </w:r>
  </w:p>
  <w:p w:rsidR="00CC0B4E" w:rsidRPr="00026965" w:rsidRDefault="00026965" w:rsidP="00026965">
    <w:pPr>
      <w:pStyle w:val="Footer"/>
    </w:pPr>
    <w:r>
      <w:t>9/26/2014 12:00:00 AM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55" w:rsidRDefault="00D91955" w:rsidP="00915C86">
      <w:pPr>
        <w:spacing w:before="0"/>
      </w:pPr>
      <w:r>
        <w:separator/>
      </w:r>
    </w:p>
  </w:footnote>
  <w:footnote w:type="continuationSeparator" w:id="0">
    <w:p w:rsidR="00D91955" w:rsidRDefault="00D91955" w:rsidP="00915C86">
      <w:pPr>
        <w:spacing w:before="0"/>
      </w:pPr>
      <w:r>
        <w:continuationSeparator/>
      </w:r>
    </w:p>
  </w:footnote>
  <w:footnote w:id="1">
    <w:p w:rsidR="00CC0B4E" w:rsidRPr="00915C86" w:rsidRDefault="00CC0B4E" w:rsidP="003C11B0">
      <w:pPr>
        <w:pStyle w:val="BodyText"/>
        <w:spacing w:before="0" w:after="240"/>
        <w:rPr>
          <w:sz w:val="18"/>
          <w:szCs w:val="18"/>
        </w:rPr>
      </w:pPr>
      <w:r w:rsidRPr="00CC0B4E">
        <w:rPr>
          <w:rStyle w:val="FootnoteReference"/>
          <w:szCs w:val="22"/>
        </w:rPr>
        <w:footnoteRef/>
      </w:r>
      <w:r>
        <w:rPr>
          <w:sz w:val="18"/>
          <w:szCs w:val="18"/>
        </w:rPr>
        <w:t>S</w:t>
      </w:r>
      <w:r w:rsidRPr="00915C86">
        <w:rPr>
          <w:sz w:val="18"/>
          <w:szCs w:val="18"/>
        </w:rPr>
        <w:t xml:space="preserve">ubgroup </w:t>
      </w:r>
      <w:r>
        <w:rPr>
          <w:sz w:val="18"/>
          <w:szCs w:val="18"/>
        </w:rPr>
        <w:t xml:space="preserve">1 </w:t>
      </w:r>
      <w:r w:rsidRPr="00915C86">
        <w:rPr>
          <w:sz w:val="18"/>
          <w:szCs w:val="18"/>
        </w:rPr>
        <w:t xml:space="preserve">members </w:t>
      </w:r>
      <w:r>
        <w:rPr>
          <w:sz w:val="18"/>
          <w:szCs w:val="18"/>
        </w:rPr>
        <w:t xml:space="preserve">include </w:t>
      </w:r>
      <w:r w:rsidRPr="00915C86">
        <w:rPr>
          <w:sz w:val="18"/>
          <w:szCs w:val="18"/>
        </w:rPr>
        <w:t>China, Cyprus, the European Court of Auditors, Hungary, Mexico, Netherlands, Poland, Russian Federation, Saudi Arabia, Spain, Sweden, United Kingdom, United States, and Venezuela.</w:t>
      </w:r>
    </w:p>
  </w:footnote>
  <w:footnote w:id="2">
    <w:p w:rsidR="00CC0B4E" w:rsidRDefault="00CC0B4E" w:rsidP="002A4D80">
      <w:pPr>
        <w:pStyle w:val="FootnoteText"/>
        <w:spacing w:before="0" w:after="240"/>
      </w:pPr>
      <w:r>
        <w:rPr>
          <w:rStyle w:val="FootnoteReference"/>
        </w:rPr>
        <w:footnoteRef/>
      </w:r>
      <w:r>
        <w:t>Subgroup 2 members include Canada, Republic of Korea, and the United States.</w:t>
      </w:r>
    </w:p>
  </w:footnote>
  <w:footnote w:id="3">
    <w:p w:rsidR="00CC0B4E" w:rsidRDefault="00CC0B4E" w:rsidP="007C261E">
      <w:pPr>
        <w:pStyle w:val="FootnoteText"/>
      </w:pPr>
      <w:r>
        <w:rPr>
          <w:rStyle w:val="FootnoteReference"/>
        </w:rPr>
        <w:footnoteRef/>
      </w:r>
      <w:r>
        <w:t>S</w:t>
      </w:r>
      <w:r w:rsidRPr="00CC4916">
        <w:t xml:space="preserve">ubgroup </w:t>
      </w:r>
      <w:r>
        <w:t xml:space="preserve">3 members </w:t>
      </w:r>
      <w:r w:rsidRPr="00CC4916">
        <w:t xml:space="preserve">include Austria, Brazil, Chile, Finland, France, Indonesia, Morocco, and United States.  </w:t>
      </w:r>
    </w:p>
  </w:footnote>
  <w:footnote w:id="4">
    <w:p w:rsidR="00CC0B4E" w:rsidRPr="00B35CC1" w:rsidRDefault="00CC0B4E" w:rsidP="00FB2850">
      <w:pPr>
        <w:pStyle w:val="FootnoteText"/>
        <w:rPr>
          <w:i/>
        </w:rPr>
      </w:pPr>
      <w:r w:rsidRPr="007F0C59">
        <w:rPr>
          <w:rStyle w:val="FootnoteReference"/>
        </w:rPr>
        <w:footnoteRef/>
      </w:r>
      <w:r w:rsidRPr="007F0C59">
        <w:t xml:space="preserve">Other government research entities, such as the U.S. Office of Financial Research (OFR), and academic researchers have been conducting research on measures of systemic risk and ways to identify trends in the financial system. For example, in 2012 OFR published a report surveying 31 quantitative measures of systemic risk in the economics and finance literature, with the goal of providing researchers with resources to further analyze risks. See </w:t>
      </w:r>
      <w:proofErr w:type="spellStart"/>
      <w:r w:rsidRPr="007F0C59">
        <w:t>Bisias</w:t>
      </w:r>
      <w:proofErr w:type="spellEnd"/>
      <w:r w:rsidRPr="007F0C59">
        <w:t xml:space="preserve">, </w:t>
      </w:r>
      <w:proofErr w:type="spellStart"/>
      <w:r w:rsidRPr="007F0C59">
        <w:t>Dimitrios</w:t>
      </w:r>
      <w:proofErr w:type="spellEnd"/>
      <w:r w:rsidRPr="007F0C59">
        <w:t xml:space="preserve">, Mark Flood, Andrew Lo, Stavros </w:t>
      </w:r>
      <w:proofErr w:type="spellStart"/>
      <w:r w:rsidRPr="007F0C59">
        <w:t>Valavanis</w:t>
      </w:r>
      <w:proofErr w:type="spellEnd"/>
      <w:r w:rsidRPr="007F0C59">
        <w:t xml:space="preserve">, “A Survey of Systemic Risk Analytics,” </w:t>
      </w:r>
      <w:r w:rsidRPr="007F0C59">
        <w:rPr>
          <w:i/>
        </w:rPr>
        <w:t>Office of Financial Research Working Paper #0001 (</w:t>
      </w:r>
      <w:r w:rsidRPr="007F0C59">
        <w:t>Jan. 5, 2012)</w:t>
      </w:r>
      <w:r w:rsidRPr="007F0C59">
        <w:rPr>
          <w:i/>
        </w:rPr>
        <w:t>.</w:t>
      </w:r>
      <w:r>
        <w:rPr>
          <w:i/>
        </w:rPr>
        <w:t xml:space="preserve"> </w:t>
      </w:r>
    </w:p>
  </w:footnote>
  <w:footnote w:id="5">
    <w:p w:rsidR="00CC0B4E" w:rsidRDefault="00CC0B4E">
      <w:pPr>
        <w:pStyle w:val="FootnoteText"/>
      </w:pPr>
      <w:r>
        <w:rPr>
          <w:rStyle w:val="FootnoteReference"/>
        </w:rPr>
        <w:footnoteRef/>
      </w:r>
      <w:r>
        <w:t>T</w:t>
      </w:r>
      <w:r>
        <w:rPr>
          <w:szCs w:val="18"/>
        </w:rPr>
        <w:t xml:space="preserve">he jurisdictions are Australia, Austria, Belgium, Brazil, Canada, China, Denmark, Finland, France, Germany, Hong Kong SAR, Italy, India, Ireland, Japan, Luxembourg, Mexico, the Netherlands, Norway, Poland, Russia, Singapore, South Korea, Spain, Sweden, Switzerland, Turkey, the United Kingdom, and the United States.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6A71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8C1A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3E3B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82E0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28B8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6603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765B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46B2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3308A9A"/>
    <w:lvl w:ilvl="0">
      <w:start w:val="1"/>
      <w:numFmt w:val="decimal"/>
      <w:pStyle w:val="ListNumber"/>
      <w:lvlText w:val="%1."/>
      <w:lvlJc w:val="left"/>
      <w:pPr>
        <w:tabs>
          <w:tab w:val="num" w:pos="360"/>
        </w:tabs>
        <w:ind w:left="360" w:hanging="360"/>
      </w:pPr>
    </w:lvl>
  </w:abstractNum>
  <w:abstractNum w:abstractNumId="9">
    <w:nsid w:val="FFFFFF89"/>
    <w:multiLevelType w:val="singleLevel"/>
    <w:tmpl w:val="543E60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F597F"/>
    <w:multiLevelType w:val="hybridMultilevel"/>
    <w:tmpl w:val="1FF0A154"/>
    <w:lvl w:ilvl="0" w:tplc="09CE7CB8">
      <w:start w:val="1"/>
      <w:numFmt w:val="decimal"/>
      <w:pStyle w:val="List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C54E31"/>
    <w:multiLevelType w:val="singleLevel"/>
    <w:tmpl w:val="B106BF86"/>
    <w:lvl w:ilvl="0">
      <w:start w:val="1"/>
      <w:numFmt w:val="bullet"/>
      <w:pStyle w:val="ListBulleted"/>
      <w:lvlText w:val=""/>
      <w:lvlJc w:val="left"/>
      <w:pPr>
        <w:tabs>
          <w:tab w:val="num" w:pos="43"/>
        </w:tabs>
        <w:ind w:left="0" w:hanging="317"/>
      </w:pPr>
      <w:rPr>
        <w:rFonts w:ascii="Symbol" w:hAnsi="Symbol" w:hint="default"/>
        <w:sz w:val="18"/>
      </w:rPr>
    </w:lvl>
  </w:abstractNum>
  <w:abstractNum w:abstractNumId="12">
    <w:nsid w:val="09C8719C"/>
    <w:multiLevelType w:val="hybridMultilevel"/>
    <w:tmpl w:val="20388D3E"/>
    <w:lvl w:ilvl="0" w:tplc="189ED544">
      <w:start w:val="1"/>
      <w:numFmt w:val="decimal"/>
      <w:pStyle w:val="List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B76D10"/>
    <w:multiLevelType w:val="hybridMultilevel"/>
    <w:tmpl w:val="A79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43851"/>
    <w:multiLevelType w:val="hybridMultilevel"/>
    <w:tmpl w:val="8638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4411AD"/>
    <w:multiLevelType w:val="hybridMultilevel"/>
    <w:tmpl w:val="D6B44F16"/>
    <w:lvl w:ilvl="0" w:tplc="3962B8AA">
      <w:start w:val="1"/>
      <w:numFmt w:val="bullet"/>
      <w:pStyle w:val="Cell-ListBullet"/>
      <w:lvlText w:val=""/>
      <w:lvlJc w:val="left"/>
      <w:pPr>
        <w:ind w:left="36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BD0881"/>
    <w:multiLevelType w:val="hybridMultilevel"/>
    <w:tmpl w:val="CFD8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A4C1E"/>
    <w:multiLevelType w:val="hybridMultilevel"/>
    <w:tmpl w:val="AA006384"/>
    <w:lvl w:ilvl="0" w:tplc="5DF03088">
      <w:start w:val="1"/>
      <w:numFmt w:val="decimal"/>
      <w:pStyle w:val="ListNumbered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1151D5"/>
    <w:multiLevelType w:val="hybridMultilevel"/>
    <w:tmpl w:val="58A8808C"/>
    <w:lvl w:ilvl="0" w:tplc="3B242C92">
      <w:start w:val="1"/>
      <w:numFmt w:val="decimal"/>
      <w:pStyle w:val="ListNumbered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E113DD"/>
    <w:multiLevelType w:val="hybridMultilevel"/>
    <w:tmpl w:val="57AA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097A2A"/>
    <w:multiLevelType w:val="singleLevel"/>
    <w:tmpl w:val="4AC4D88C"/>
    <w:lvl w:ilvl="0">
      <w:start w:val="1"/>
      <w:numFmt w:val="bullet"/>
      <w:pStyle w:val="ListBulletQuote"/>
      <w:lvlText w:val=""/>
      <w:lvlJc w:val="left"/>
      <w:pPr>
        <w:ind w:left="0" w:hanging="360"/>
      </w:pPr>
      <w:rPr>
        <w:rFonts w:ascii="Symbol" w:hAnsi="Symbol" w:hint="default"/>
        <w:sz w:val="18"/>
        <w:szCs w:val="14"/>
      </w:rPr>
    </w:lvl>
  </w:abstractNum>
  <w:abstractNum w:abstractNumId="22">
    <w:nsid w:val="2639064C"/>
    <w:multiLevelType w:val="hybridMultilevel"/>
    <w:tmpl w:val="83BE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040F75"/>
    <w:multiLevelType w:val="hybridMultilevel"/>
    <w:tmpl w:val="DDF4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7B387F"/>
    <w:multiLevelType w:val="hybridMultilevel"/>
    <w:tmpl w:val="4A28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5A7430"/>
    <w:multiLevelType w:val="hybridMultilevel"/>
    <w:tmpl w:val="408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C6141E"/>
    <w:multiLevelType w:val="hybridMultilevel"/>
    <w:tmpl w:val="C49C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4442FE"/>
    <w:multiLevelType w:val="hybridMultilevel"/>
    <w:tmpl w:val="BE4C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A34F86"/>
    <w:multiLevelType w:val="hybridMultilevel"/>
    <w:tmpl w:val="114E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7E4123"/>
    <w:multiLevelType w:val="singleLevel"/>
    <w:tmpl w:val="00B20746"/>
    <w:lvl w:ilvl="0">
      <w:start w:val="1"/>
      <w:numFmt w:val="decimal"/>
      <w:pStyle w:val="Cell-List"/>
      <w:lvlText w:val="%1."/>
      <w:lvlJc w:val="left"/>
      <w:pPr>
        <w:tabs>
          <w:tab w:val="num" w:pos="360"/>
        </w:tabs>
        <w:ind w:left="360" w:hanging="360"/>
      </w:pPr>
    </w:lvl>
  </w:abstractNum>
  <w:abstractNum w:abstractNumId="31">
    <w:nsid w:val="3A8D600C"/>
    <w:multiLevelType w:val="singleLevel"/>
    <w:tmpl w:val="2C5E9EF4"/>
    <w:lvl w:ilvl="0">
      <w:start w:val="1"/>
      <w:numFmt w:val="bullet"/>
      <w:pStyle w:val="Bullet"/>
      <w:lvlText w:val=""/>
      <w:lvlJc w:val="left"/>
      <w:pPr>
        <w:tabs>
          <w:tab w:val="num" w:pos="43"/>
        </w:tabs>
        <w:ind w:left="0" w:hanging="317"/>
      </w:pPr>
      <w:rPr>
        <w:rFonts w:ascii="ITCCentury Book" w:hAnsi="ITCCentury Book" w:hint="default"/>
        <w:sz w:val="18"/>
      </w:rPr>
    </w:lvl>
  </w:abstractNum>
  <w:abstractNum w:abstractNumId="32">
    <w:nsid w:val="3AB62AF8"/>
    <w:multiLevelType w:val="hybridMultilevel"/>
    <w:tmpl w:val="6F44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E820B4"/>
    <w:multiLevelType w:val="hybridMultilevel"/>
    <w:tmpl w:val="B296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4B1C28"/>
    <w:multiLevelType w:val="hybridMultilevel"/>
    <w:tmpl w:val="BB34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592F7E"/>
    <w:multiLevelType w:val="singleLevel"/>
    <w:tmpl w:val="0876D2B8"/>
    <w:lvl w:ilvl="0">
      <w:start w:val="1"/>
      <w:numFmt w:val="bullet"/>
      <w:pStyle w:val="ListBulletLong"/>
      <w:lvlText w:val=""/>
      <w:lvlJc w:val="left"/>
      <w:pPr>
        <w:tabs>
          <w:tab w:val="num" w:pos="360"/>
        </w:tabs>
        <w:ind w:left="360" w:hanging="360"/>
      </w:pPr>
      <w:rPr>
        <w:rFonts w:ascii="Symbol" w:hAnsi="Symbol" w:hint="default"/>
      </w:rPr>
    </w:lvl>
  </w:abstractNum>
  <w:abstractNum w:abstractNumId="36">
    <w:nsid w:val="48B17EFC"/>
    <w:multiLevelType w:val="hybridMultilevel"/>
    <w:tmpl w:val="AF1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0348F6"/>
    <w:multiLevelType w:val="hybridMultilevel"/>
    <w:tmpl w:val="B10485D4"/>
    <w:lvl w:ilvl="0" w:tplc="980A2F24">
      <w:start w:val="1"/>
      <w:numFmt w:val="bullet"/>
      <w:pStyle w:val="Cell-ListBullet2"/>
      <w:lvlText w:val=""/>
      <w:lvlJc w:val="left"/>
      <w:pPr>
        <w:ind w:left="720" w:hanging="360"/>
      </w:pPr>
      <w:rPr>
        <w:rFonts w:ascii="Symbol" w:hAnsi="Symbol" w:hint="default"/>
        <w:sz w:val="14"/>
        <w:szCs w:val="14"/>
      </w:rPr>
    </w:lvl>
    <w:lvl w:ilvl="1" w:tplc="E7621724" w:tentative="1">
      <w:start w:val="1"/>
      <w:numFmt w:val="bullet"/>
      <w:lvlText w:val="o"/>
      <w:lvlJc w:val="left"/>
      <w:pPr>
        <w:tabs>
          <w:tab w:val="num" w:pos="1440"/>
        </w:tabs>
        <w:ind w:left="1440" w:hanging="360"/>
      </w:pPr>
      <w:rPr>
        <w:rFonts w:ascii="Courier New" w:hAnsi="Courier New" w:cs="Courier New" w:hint="default"/>
      </w:rPr>
    </w:lvl>
    <w:lvl w:ilvl="2" w:tplc="46022042" w:tentative="1">
      <w:start w:val="1"/>
      <w:numFmt w:val="bullet"/>
      <w:lvlText w:val=""/>
      <w:lvlJc w:val="left"/>
      <w:pPr>
        <w:tabs>
          <w:tab w:val="num" w:pos="2160"/>
        </w:tabs>
        <w:ind w:left="2160" w:hanging="360"/>
      </w:pPr>
      <w:rPr>
        <w:rFonts w:ascii="Wingdings" w:hAnsi="Wingdings" w:hint="default"/>
      </w:rPr>
    </w:lvl>
    <w:lvl w:ilvl="3" w:tplc="F96A175A" w:tentative="1">
      <w:start w:val="1"/>
      <w:numFmt w:val="bullet"/>
      <w:lvlText w:val=""/>
      <w:lvlJc w:val="left"/>
      <w:pPr>
        <w:tabs>
          <w:tab w:val="num" w:pos="2880"/>
        </w:tabs>
        <w:ind w:left="2880" w:hanging="360"/>
      </w:pPr>
      <w:rPr>
        <w:rFonts w:ascii="Symbol" w:hAnsi="Symbol" w:hint="default"/>
      </w:rPr>
    </w:lvl>
    <w:lvl w:ilvl="4" w:tplc="17068AFC" w:tentative="1">
      <w:start w:val="1"/>
      <w:numFmt w:val="bullet"/>
      <w:lvlText w:val="o"/>
      <w:lvlJc w:val="left"/>
      <w:pPr>
        <w:tabs>
          <w:tab w:val="num" w:pos="3600"/>
        </w:tabs>
        <w:ind w:left="3600" w:hanging="360"/>
      </w:pPr>
      <w:rPr>
        <w:rFonts w:ascii="Courier New" w:hAnsi="Courier New" w:cs="Courier New" w:hint="default"/>
      </w:rPr>
    </w:lvl>
    <w:lvl w:ilvl="5" w:tplc="56A69D50" w:tentative="1">
      <w:start w:val="1"/>
      <w:numFmt w:val="bullet"/>
      <w:lvlText w:val=""/>
      <w:lvlJc w:val="left"/>
      <w:pPr>
        <w:tabs>
          <w:tab w:val="num" w:pos="4320"/>
        </w:tabs>
        <w:ind w:left="4320" w:hanging="360"/>
      </w:pPr>
      <w:rPr>
        <w:rFonts w:ascii="Wingdings" w:hAnsi="Wingdings" w:hint="default"/>
      </w:rPr>
    </w:lvl>
    <w:lvl w:ilvl="6" w:tplc="89588BFC" w:tentative="1">
      <w:start w:val="1"/>
      <w:numFmt w:val="bullet"/>
      <w:lvlText w:val=""/>
      <w:lvlJc w:val="left"/>
      <w:pPr>
        <w:tabs>
          <w:tab w:val="num" w:pos="5040"/>
        </w:tabs>
        <w:ind w:left="5040" w:hanging="360"/>
      </w:pPr>
      <w:rPr>
        <w:rFonts w:ascii="Symbol" w:hAnsi="Symbol" w:hint="default"/>
      </w:rPr>
    </w:lvl>
    <w:lvl w:ilvl="7" w:tplc="B7EEC28A" w:tentative="1">
      <w:start w:val="1"/>
      <w:numFmt w:val="bullet"/>
      <w:lvlText w:val="o"/>
      <w:lvlJc w:val="left"/>
      <w:pPr>
        <w:tabs>
          <w:tab w:val="num" w:pos="5760"/>
        </w:tabs>
        <w:ind w:left="5760" w:hanging="360"/>
      </w:pPr>
      <w:rPr>
        <w:rFonts w:ascii="Courier New" w:hAnsi="Courier New" w:cs="Courier New" w:hint="default"/>
      </w:rPr>
    </w:lvl>
    <w:lvl w:ilvl="8" w:tplc="A9BC3642" w:tentative="1">
      <w:start w:val="1"/>
      <w:numFmt w:val="bullet"/>
      <w:lvlText w:val=""/>
      <w:lvlJc w:val="left"/>
      <w:pPr>
        <w:tabs>
          <w:tab w:val="num" w:pos="6480"/>
        </w:tabs>
        <w:ind w:left="6480" w:hanging="360"/>
      </w:pPr>
      <w:rPr>
        <w:rFonts w:ascii="Wingdings" w:hAnsi="Wingdings" w:hint="default"/>
      </w:rPr>
    </w:lvl>
  </w:abstractNum>
  <w:abstractNum w:abstractNumId="38">
    <w:nsid w:val="508E28ED"/>
    <w:multiLevelType w:val="hybridMultilevel"/>
    <w:tmpl w:val="733C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1065F5"/>
    <w:multiLevelType w:val="hybridMultilevel"/>
    <w:tmpl w:val="74426F3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0">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35C45B5"/>
    <w:multiLevelType w:val="hybridMultilevel"/>
    <w:tmpl w:val="F5D2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AA669B"/>
    <w:multiLevelType w:val="hybridMultilevel"/>
    <w:tmpl w:val="A9C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44">
    <w:nsid w:val="58FC0C5F"/>
    <w:multiLevelType w:val="hybridMultilevel"/>
    <w:tmpl w:val="8372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9B0FFB"/>
    <w:multiLevelType w:val="hybridMultilevel"/>
    <w:tmpl w:val="AABA2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01D0C9E"/>
    <w:multiLevelType w:val="hybridMultilevel"/>
    <w:tmpl w:val="33C437E6"/>
    <w:lvl w:ilvl="0" w:tplc="073CE4AE">
      <w:start w:val="1"/>
      <w:numFmt w:val="bullet"/>
      <w:suff w:val="nothing"/>
      <w:lvlText w:val=""/>
      <w:lvlJc w:val="left"/>
      <w:pPr>
        <w:ind w:left="0" w:firstLine="0"/>
      </w:pPr>
      <w:rPr>
        <w:rFonts w:ascii="Wingdings" w:hAnsi="Wingdings" w:hint="default"/>
        <w:sz w:val="11"/>
      </w:rPr>
    </w:lvl>
    <w:lvl w:ilvl="1" w:tplc="1CE4C4CC">
      <w:start w:val="1"/>
      <w:numFmt w:val="bullet"/>
      <w:suff w:val="nothing"/>
      <w:lvlText w:val=""/>
      <w:lvlJc w:val="left"/>
      <w:pPr>
        <w:ind w:left="840" w:hanging="420"/>
      </w:pPr>
      <w:rPr>
        <w:rFonts w:ascii="Wingdings" w:hAnsi="Wingdings" w:hint="default"/>
        <w:sz w:val="11"/>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2F226EB"/>
    <w:multiLevelType w:val="hybridMultilevel"/>
    <w:tmpl w:val="696C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FB7C1D"/>
    <w:multiLevelType w:val="hybridMultilevel"/>
    <w:tmpl w:val="52AC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075330"/>
    <w:multiLevelType w:val="hybridMultilevel"/>
    <w:tmpl w:val="1D88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49E6030"/>
    <w:multiLevelType w:val="hybridMultilevel"/>
    <w:tmpl w:val="C05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941672"/>
    <w:multiLevelType w:val="hybridMultilevel"/>
    <w:tmpl w:val="9D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2430A2"/>
    <w:multiLevelType w:val="singleLevel"/>
    <w:tmpl w:val="7DE2B536"/>
    <w:lvl w:ilvl="0">
      <w:start w:val="1"/>
      <w:numFmt w:val="decimal"/>
      <w:pStyle w:val="ListNumbered"/>
      <w:lvlText w:val="%1."/>
      <w:lvlJc w:val="left"/>
      <w:pPr>
        <w:tabs>
          <w:tab w:val="num" w:pos="360"/>
        </w:tabs>
        <w:ind w:left="360" w:hanging="360"/>
      </w:pPr>
    </w:lvl>
  </w:abstractNum>
  <w:abstractNum w:abstractNumId="54">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nsid w:val="6D6101F5"/>
    <w:multiLevelType w:val="hybridMultilevel"/>
    <w:tmpl w:val="F1FCDF20"/>
    <w:lvl w:ilvl="0" w:tplc="F2A40940">
      <w:start w:val="1"/>
      <w:numFmt w:val="decimal"/>
      <w:pStyle w:val="Cell-List2"/>
      <w:lvlText w:val="%1."/>
      <w:lvlJc w:val="left"/>
      <w:pPr>
        <w:tabs>
          <w:tab w:val="num" w:pos="720"/>
        </w:tabs>
        <w:ind w:left="720" w:hanging="360"/>
      </w:pPr>
      <w:rPr>
        <w:rFonts w:hint="default"/>
      </w:rPr>
    </w:lvl>
    <w:lvl w:ilvl="1" w:tplc="3E5802D8" w:tentative="1">
      <w:start w:val="1"/>
      <w:numFmt w:val="lowerLetter"/>
      <w:lvlText w:val="%2."/>
      <w:lvlJc w:val="left"/>
      <w:pPr>
        <w:tabs>
          <w:tab w:val="num" w:pos="1440"/>
        </w:tabs>
        <w:ind w:left="1440" w:hanging="360"/>
      </w:pPr>
    </w:lvl>
    <w:lvl w:ilvl="2" w:tplc="502C2514" w:tentative="1">
      <w:start w:val="1"/>
      <w:numFmt w:val="lowerRoman"/>
      <w:lvlText w:val="%3."/>
      <w:lvlJc w:val="right"/>
      <w:pPr>
        <w:tabs>
          <w:tab w:val="num" w:pos="2160"/>
        </w:tabs>
        <w:ind w:left="2160" w:hanging="180"/>
      </w:pPr>
    </w:lvl>
    <w:lvl w:ilvl="3" w:tplc="EE3AC0A6" w:tentative="1">
      <w:start w:val="1"/>
      <w:numFmt w:val="decimal"/>
      <w:lvlText w:val="%4."/>
      <w:lvlJc w:val="left"/>
      <w:pPr>
        <w:tabs>
          <w:tab w:val="num" w:pos="2880"/>
        </w:tabs>
        <w:ind w:left="2880" w:hanging="360"/>
      </w:pPr>
    </w:lvl>
    <w:lvl w:ilvl="4" w:tplc="48241AE8" w:tentative="1">
      <w:start w:val="1"/>
      <w:numFmt w:val="lowerLetter"/>
      <w:lvlText w:val="%5."/>
      <w:lvlJc w:val="left"/>
      <w:pPr>
        <w:tabs>
          <w:tab w:val="num" w:pos="3600"/>
        </w:tabs>
        <w:ind w:left="3600" w:hanging="360"/>
      </w:pPr>
    </w:lvl>
    <w:lvl w:ilvl="5" w:tplc="C0BA5368" w:tentative="1">
      <w:start w:val="1"/>
      <w:numFmt w:val="lowerRoman"/>
      <w:lvlText w:val="%6."/>
      <w:lvlJc w:val="right"/>
      <w:pPr>
        <w:tabs>
          <w:tab w:val="num" w:pos="4320"/>
        </w:tabs>
        <w:ind w:left="4320" w:hanging="180"/>
      </w:pPr>
    </w:lvl>
    <w:lvl w:ilvl="6" w:tplc="4E163954" w:tentative="1">
      <w:start w:val="1"/>
      <w:numFmt w:val="decimal"/>
      <w:lvlText w:val="%7."/>
      <w:lvlJc w:val="left"/>
      <w:pPr>
        <w:tabs>
          <w:tab w:val="num" w:pos="5040"/>
        </w:tabs>
        <w:ind w:left="5040" w:hanging="360"/>
      </w:pPr>
    </w:lvl>
    <w:lvl w:ilvl="7" w:tplc="DA4E8BE4" w:tentative="1">
      <w:start w:val="1"/>
      <w:numFmt w:val="lowerLetter"/>
      <w:lvlText w:val="%8."/>
      <w:lvlJc w:val="left"/>
      <w:pPr>
        <w:tabs>
          <w:tab w:val="num" w:pos="5760"/>
        </w:tabs>
        <w:ind w:left="5760" w:hanging="360"/>
      </w:pPr>
    </w:lvl>
    <w:lvl w:ilvl="8" w:tplc="411C5548" w:tentative="1">
      <w:start w:val="1"/>
      <w:numFmt w:val="lowerRoman"/>
      <w:lvlText w:val="%9."/>
      <w:lvlJc w:val="right"/>
      <w:pPr>
        <w:tabs>
          <w:tab w:val="num" w:pos="6480"/>
        </w:tabs>
        <w:ind w:left="6480" w:hanging="180"/>
      </w:pPr>
    </w:lvl>
  </w:abstractNum>
  <w:abstractNum w:abstractNumId="56">
    <w:nsid w:val="735A01BC"/>
    <w:multiLevelType w:val="hybridMultilevel"/>
    <w:tmpl w:val="567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50"/>
  </w:num>
  <w:num w:numId="12">
    <w:abstractNumId w:val="40"/>
  </w:num>
  <w:num w:numId="13">
    <w:abstractNumId w:val="54"/>
  </w:num>
  <w:num w:numId="14">
    <w:abstractNumId w:val="43"/>
  </w:num>
  <w:num w:numId="15">
    <w:abstractNumId w:val="16"/>
  </w:num>
  <w:num w:numId="16">
    <w:abstractNumId w:val="24"/>
  </w:num>
  <w:num w:numId="17">
    <w:abstractNumId w:val="31"/>
  </w:num>
  <w:num w:numId="18">
    <w:abstractNumId w:val="30"/>
  </w:num>
  <w:num w:numId="19">
    <w:abstractNumId w:val="55"/>
  </w:num>
  <w:num w:numId="20">
    <w:abstractNumId w:val="15"/>
  </w:num>
  <w:num w:numId="21">
    <w:abstractNumId w:val="37"/>
  </w:num>
  <w:num w:numId="22">
    <w:abstractNumId w:val="35"/>
  </w:num>
  <w:num w:numId="23">
    <w:abstractNumId w:val="21"/>
  </w:num>
  <w:num w:numId="24">
    <w:abstractNumId w:val="11"/>
  </w:num>
  <w:num w:numId="25">
    <w:abstractNumId w:val="53"/>
  </w:num>
  <w:num w:numId="26">
    <w:abstractNumId w:val="12"/>
  </w:num>
  <w:num w:numId="27">
    <w:abstractNumId w:val="19"/>
  </w:num>
  <w:num w:numId="28">
    <w:abstractNumId w:val="10"/>
  </w:num>
  <w:num w:numId="29">
    <w:abstractNumId w:val="18"/>
  </w:num>
  <w:num w:numId="30">
    <w:abstractNumId w:val="23"/>
  </w:num>
  <w:num w:numId="31">
    <w:abstractNumId w:val="46"/>
  </w:num>
  <w:num w:numId="32">
    <w:abstractNumId w:val="25"/>
  </w:num>
  <w:num w:numId="33">
    <w:abstractNumId w:val="52"/>
  </w:num>
  <w:num w:numId="34">
    <w:abstractNumId w:val="39"/>
  </w:num>
  <w:num w:numId="35">
    <w:abstractNumId w:val="56"/>
  </w:num>
  <w:num w:numId="36">
    <w:abstractNumId w:val="51"/>
  </w:num>
  <w:num w:numId="37">
    <w:abstractNumId w:val="38"/>
  </w:num>
  <w:num w:numId="38">
    <w:abstractNumId w:val="32"/>
  </w:num>
  <w:num w:numId="39">
    <w:abstractNumId w:val="20"/>
  </w:num>
  <w:num w:numId="40">
    <w:abstractNumId w:val="42"/>
  </w:num>
  <w:num w:numId="41">
    <w:abstractNumId w:val="36"/>
  </w:num>
  <w:num w:numId="42">
    <w:abstractNumId w:val="22"/>
  </w:num>
  <w:num w:numId="43">
    <w:abstractNumId w:val="17"/>
  </w:num>
  <w:num w:numId="44">
    <w:abstractNumId w:val="44"/>
  </w:num>
  <w:num w:numId="45">
    <w:abstractNumId w:val="41"/>
  </w:num>
  <w:num w:numId="46">
    <w:abstractNumId w:val="28"/>
  </w:num>
  <w:num w:numId="47">
    <w:abstractNumId w:val="14"/>
  </w:num>
  <w:num w:numId="48">
    <w:abstractNumId w:val="48"/>
  </w:num>
  <w:num w:numId="49">
    <w:abstractNumId w:val="13"/>
  </w:num>
  <w:num w:numId="50">
    <w:abstractNumId w:val="27"/>
  </w:num>
  <w:num w:numId="51">
    <w:abstractNumId w:val="45"/>
  </w:num>
  <w:num w:numId="52">
    <w:abstractNumId w:val="34"/>
  </w:num>
  <w:num w:numId="53">
    <w:abstractNumId w:val="49"/>
  </w:num>
  <w:num w:numId="54">
    <w:abstractNumId w:val="33"/>
  </w:num>
  <w:num w:numId="55">
    <w:abstractNumId w:val="29"/>
  </w:num>
  <w:num w:numId="56">
    <w:abstractNumId w:val="26"/>
  </w:num>
  <w:num w:numId="57">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102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C0D35"/>
    <w:rsid w:val="00001274"/>
    <w:rsid w:val="00004344"/>
    <w:rsid w:val="000049BD"/>
    <w:rsid w:val="000061E6"/>
    <w:rsid w:val="00007A51"/>
    <w:rsid w:val="00015209"/>
    <w:rsid w:val="000171D1"/>
    <w:rsid w:val="00026965"/>
    <w:rsid w:val="000305ED"/>
    <w:rsid w:val="00030BF7"/>
    <w:rsid w:val="00032584"/>
    <w:rsid w:val="0003315E"/>
    <w:rsid w:val="00037FF1"/>
    <w:rsid w:val="000421BD"/>
    <w:rsid w:val="0004494C"/>
    <w:rsid w:val="00047481"/>
    <w:rsid w:val="000537E5"/>
    <w:rsid w:val="0005448C"/>
    <w:rsid w:val="000733EF"/>
    <w:rsid w:val="0007675A"/>
    <w:rsid w:val="00077861"/>
    <w:rsid w:val="000812ED"/>
    <w:rsid w:val="00081A76"/>
    <w:rsid w:val="000868C3"/>
    <w:rsid w:val="000B0E62"/>
    <w:rsid w:val="000B166D"/>
    <w:rsid w:val="000B2A97"/>
    <w:rsid w:val="000B334D"/>
    <w:rsid w:val="000B65EB"/>
    <w:rsid w:val="000B7283"/>
    <w:rsid w:val="000C2EFD"/>
    <w:rsid w:val="000D1A60"/>
    <w:rsid w:val="000D23C8"/>
    <w:rsid w:val="000D34BD"/>
    <w:rsid w:val="000D46E6"/>
    <w:rsid w:val="000D4ECE"/>
    <w:rsid w:val="000E56AC"/>
    <w:rsid w:val="000E6D69"/>
    <w:rsid w:val="000E6D7A"/>
    <w:rsid w:val="000E7BD4"/>
    <w:rsid w:val="000F30A6"/>
    <w:rsid w:val="000F6335"/>
    <w:rsid w:val="00105062"/>
    <w:rsid w:val="001112E2"/>
    <w:rsid w:val="00116228"/>
    <w:rsid w:val="00117003"/>
    <w:rsid w:val="001222CB"/>
    <w:rsid w:val="00144505"/>
    <w:rsid w:val="0014487D"/>
    <w:rsid w:val="00144F20"/>
    <w:rsid w:val="00154023"/>
    <w:rsid w:val="0015503C"/>
    <w:rsid w:val="0016525F"/>
    <w:rsid w:val="00166912"/>
    <w:rsid w:val="00190570"/>
    <w:rsid w:val="00191270"/>
    <w:rsid w:val="001A1215"/>
    <w:rsid w:val="001B04BA"/>
    <w:rsid w:val="001C0D35"/>
    <w:rsid w:val="001C1517"/>
    <w:rsid w:val="001C1F7D"/>
    <w:rsid w:val="001C38C4"/>
    <w:rsid w:val="001E0C79"/>
    <w:rsid w:val="001E4FF6"/>
    <w:rsid w:val="001E5975"/>
    <w:rsid w:val="001F5B04"/>
    <w:rsid w:val="002011F5"/>
    <w:rsid w:val="00207661"/>
    <w:rsid w:val="00211A16"/>
    <w:rsid w:val="00214C72"/>
    <w:rsid w:val="0022012C"/>
    <w:rsid w:val="0022072B"/>
    <w:rsid w:val="00223932"/>
    <w:rsid w:val="00223C1A"/>
    <w:rsid w:val="00241F18"/>
    <w:rsid w:val="00245AD7"/>
    <w:rsid w:val="00250E22"/>
    <w:rsid w:val="00253718"/>
    <w:rsid w:val="00260282"/>
    <w:rsid w:val="00293AAC"/>
    <w:rsid w:val="00294CD6"/>
    <w:rsid w:val="00295BB2"/>
    <w:rsid w:val="002A4D80"/>
    <w:rsid w:val="002B3F1A"/>
    <w:rsid w:val="002B474D"/>
    <w:rsid w:val="002B4A9A"/>
    <w:rsid w:val="002C140B"/>
    <w:rsid w:val="002C4826"/>
    <w:rsid w:val="002D1705"/>
    <w:rsid w:val="002D3CE3"/>
    <w:rsid w:val="002D3E13"/>
    <w:rsid w:val="002D42EA"/>
    <w:rsid w:val="002D551B"/>
    <w:rsid w:val="002E101A"/>
    <w:rsid w:val="002E4BAB"/>
    <w:rsid w:val="002E67A6"/>
    <w:rsid w:val="002E67BD"/>
    <w:rsid w:val="002E79E1"/>
    <w:rsid w:val="002F2C22"/>
    <w:rsid w:val="002F5895"/>
    <w:rsid w:val="002F76DE"/>
    <w:rsid w:val="002F7C93"/>
    <w:rsid w:val="003008AC"/>
    <w:rsid w:val="00306AB9"/>
    <w:rsid w:val="00307E45"/>
    <w:rsid w:val="003125EC"/>
    <w:rsid w:val="003129E5"/>
    <w:rsid w:val="003155C5"/>
    <w:rsid w:val="00330650"/>
    <w:rsid w:val="00333CBF"/>
    <w:rsid w:val="003422A0"/>
    <w:rsid w:val="00342FDA"/>
    <w:rsid w:val="00346E4C"/>
    <w:rsid w:val="00351009"/>
    <w:rsid w:val="0037757A"/>
    <w:rsid w:val="00384C34"/>
    <w:rsid w:val="003876AF"/>
    <w:rsid w:val="00391BEF"/>
    <w:rsid w:val="00392463"/>
    <w:rsid w:val="00395F63"/>
    <w:rsid w:val="003A04C9"/>
    <w:rsid w:val="003A6442"/>
    <w:rsid w:val="003B59E4"/>
    <w:rsid w:val="003B5DE3"/>
    <w:rsid w:val="003B6029"/>
    <w:rsid w:val="003C11B0"/>
    <w:rsid w:val="003C334A"/>
    <w:rsid w:val="003C7C41"/>
    <w:rsid w:val="003D025F"/>
    <w:rsid w:val="003D754F"/>
    <w:rsid w:val="003D755A"/>
    <w:rsid w:val="003E0598"/>
    <w:rsid w:val="003E7BFC"/>
    <w:rsid w:val="003F0B48"/>
    <w:rsid w:val="003F7462"/>
    <w:rsid w:val="00400E2D"/>
    <w:rsid w:val="00402BB2"/>
    <w:rsid w:val="00404B2E"/>
    <w:rsid w:val="00407997"/>
    <w:rsid w:val="004139E7"/>
    <w:rsid w:val="0041667C"/>
    <w:rsid w:val="0041704A"/>
    <w:rsid w:val="00417766"/>
    <w:rsid w:val="004254DB"/>
    <w:rsid w:val="00426D6D"/>
    <w:rsid w:val="00441D21"/>
    <w:rsid w:val="004440DF"/>
    <w:rsid w:val="00444609"/>
    <w:rsid w:val="00455852"/>
    <w:rsid w:val="004573C0"/>
    <w:rsid w:val="00461C87"/>
    <w:rsid w:val="0046430B"/>
    <w:rsid w:val="0046500B"/>
    <w:rsid w:val="00467C5D"/>
    <w:rsid w:val="00482346"/>
    <w:rsid w:val="00494CC7"/>
    <w:rsid w:val="004966B6"/>
    <w:rsid w:val="004A38BA"/>
    <w:rsid w:val="004A5FC8"/>
    <w:rsid w:val="004A7089"/>
    <w:rsid w:val="004C3F7A"/>
    <w:rsid w:val="004D3C98"/>
    <w:rsid w:val="004F6B82"/>
    <w:rsid w:val="004F7354"/>
    <w:rsid w:val="0050185E"/>
    <w:rsid w:val="00510005"/>
    <w:rsid w:val="0051531D"/>
    <w:rsid w:val="00521816"/>
    <w:rsid w:val="005218C1"/>
    <w:rsid w:val="00523B84"/>
    <w:rsid w:val="00527FFE"/>
    <w:rsid w:val="00530040"/>
    <w:rsid w:val="00531C1C"/>
    <w:rsid w:val="00535385"/>
    <w:rsid w:val="005358DB"/>
    <w:rsid w:val="00536FF9"/>
    <w:rsid w:val="005501A7"/>
    <w:rsid w:val="005548B0"/>
    <w:rsid w:val="00560DC2"/>
    <w:rsid w:val="005701DA"/>
    <w:rsid w:val="00572031"/>
    <w:rsid w:val="005771A4"/>
    <w:rsid w:val="00577473"/>
    <w:rsid w:val="005778B8"/>
    <w:rsid w:val="00592317"/>
    <w:rsid w:val="00595D02"/>
    <w:rsid w:val="005A481A"/>
    <w:rsid w:val="005A681D"/>
    <w:rsid w:val="005B00BF"/>
    <w:rsid w:val="005B1A81"/>
    <w:rsid w:val="005C070D"/>
    <w:rsid w:val="005D409A"/>
    <w:rsid w:val="005E02C1"/>
    <w:rsid w:val="005E0FFD"/>
    <w:rsid w:val="005E339E"/>
    <w:rsid w:val="005F4E62"/>
    <w:rsid w:val="0060039B"/>
    <w:rsid w:val="006004C1"/>
    <w:rsid w:val="00605C22"/>
    <w:rsid w:val="00606565"/>
    <w:rsid w:val="00611342"/>
    <w:rsid w:val="00617035"/>
    <w:rsid w:val="00636C8E"/>
    <w:rsid w:val="0064001F"/>
    <w:rsid w:val="00641551"/>
    <w:rsid w:val="00642DCA"/>
    <w:rsid w:val="00662D1C"/>
    <w:rsid w:val="0066372F"/>
    <w:rsid w:val="006638D2"/>
    <w:rsid w:val="00667804"/>
    <w:rsid w:val="0066789E"/>
    <w:rsid w:val="00685363"/>
    <w:rsid w:val="006853CD"/>
    <w:rsid w:val="0069676C"/>
    <w:rsid w:val="006A0FE9"/>
    <w:rsid w:val="006A2544"/>
    <w:rsid w:val="006A5294"/>
    <w:rsid w:val="006B32E1"/>
    <w:rsid w:val="006B7BA0"/>
    <w:rsid w:val="006C3C75"/>
    <w:rsid w:val="006C771A"/>
    <w:rsid w:val="006D3FDE"/>
    <w:rsid w:val="006E1498"/>
    <w:rsid w:val="006E6280"/>
    <w:rsid w:val="006E631D"/>
    <w:rsid w:val="006F1419"/>
    <w:rsid w:val="006F5771"/>
    <w:rsid w:val="006F7608"/>
    <w:rsid w:val="006F7ABE"/>
    <w:rsid w:val="00702BCC"/>
    <w:rsid w:val="0070371F"/>
    <w:rsid w:val="00703759"/>
    <w:rsid w:val="00722F31"/>
    <w:rsid w:val="0072417B"/>
    <w:rsid w:val="00741756"/>
    <w:rsid w:val="00756FEF"/>
    <w:rsid w:val="00760F08"/>
    <w:rsid w:val="00763D40"/>
    <w:rsid w:val="0076751C"/>
    <w:rsid w:val="00767A23"/>
    <w:rsid w:val="007865A0"/>
    <w:rsid w:val="007907E5"/>
    <w:rsid w:val="00792CF2"/>
    <w:rsid w:val="00796AB4"/>
    <w:rsid w:val="007972CF"/>
    <w:rsid w:val="007A473D"/>
    <w:rsid w:val="007C261E"/>
    <w:rsid w:val="007C5984"/>
    <w:rsid w:val="007C647D"/>
    <w:rsid w:val="007D349A"/>
    <w:rsid w:val="007D6D56"/>
    <w:rsid w:val="007E4C1E"/>
    <w:rsid w:val="007E5923"/>
    <w:rsid w:val="007F0C59"/>
    <w:rsid w:val="007F4120"/>
    <w:rsid w:val="007F668C"/>
    <w:rsid w:val="00801917"/>
    <w:rsid w:val="00804857"/>
    <w:rsid w:val="00814B34"/>
    <w:rsid w:val="00816216"/>
    <w:rsid w:val="00816632"/>
    <w:rsid w:val="00817A26"/>
    <w:rsid w:val="00825C36"/>
    <w:rsid w:val="00826241"/>
    <w:rsid w:val="00832C4D"/>
    <w:rsid w:val="00834E71"/>
    <w:rsid w:val="008377DE"/>
    <w:rsid w:val="0084449C"/>
    <w:rsid w:val="00846113"/>
    <w:rsid w:val="00846D1B"/>
    <w:rsid w:val="0084796A"/>
    <w:rsid w:val="00855ECF"/>
    <w:rsid w:val="00855F92"/>
    <w:rsid w:val="00857AFF"/>
    <w:rsid w:val="00865E2F"/>
    <w:rsid w:val="008702BA"/>
    <w:rsid w:val="00875391"/>
    <w:rsid w:val="00882EB0"/>
    <w:rsid w:val="00891D20"/>
    <w:rsid w:val="00894657"/>
    <w:rsid w:val="00894871"/>
    <w:rsid w:val="008A56C3"/>
    <w:rsid w:val="008B0BFF"/>
    <w:rsid w:val="008B1226"/>
    <w:rsid w:val="008B2090"/>
    <w:rsid w:val="008B3DBB"/>
    <w:rsid w:val="008D3A43"/>
    <w:rsid w:val="008D5389"/>
    <w:rsid w:val="008E2379"/>
    <w:rsid w:val="008F0E5E"/>
    <w:rsid w:val="008F797B"/>
    <w:rsid w:val="009004BE"/>
    <w:rsid w:val="00902AA2"/>
    <w:rsid w:val="00903C0B"/>
    <w:rsid w:val="0090648C"/>
    <w:rsid w:val="00915C86"/>
    <w:rsid w:val="0091787C"/>
    <w:rsid w:val="00917D4A"/>
    <w:rsid w:val="009222A2"/>
    <w:rsid w:val="00927012"/>
    <w:rsid w:val="00930165"/>
    <w:rsid w:val="00931E22"/>
    <w:rsid w:val="0096149C"/>
    <w:rsid w:val="00966D4F"/>
    <w:rsid w:val="00975260"/>
    <w:rsid w:val="009818CF"/>
    <w:rsid w:val="00983C7B"/>
    <w:rsid w:val="00991DB7"/>
    <w:rsid w:val="00994EC6"/>
    <w:rsid w:val="009978C3"/>
    <w:rsid w:val="009979E0"/>
    <w:rsid w:val="009A2606"/>
    <w:rsid w:val="009A37D0"/>
    <w:rsid w:val="009B221C"/>
    <w:rsid w:val="009B73D6"/>
    <w:rsid w:val="009C0103"/>
    <w:rsid w:val="009C5FA2"/>
    <w:rsid w:val="009C64B2"/>
    <w:rsid w:val="009C78A4"/>
    <w:rsid w:val="009D4234"/>
    <w:rsid w:val="009F1D0E"/>
    <w:rsid w:val="009F36AB"/>
    <w:rsid w:val="00A06D7D"/>
    <w:rsid w:val="00A17035"/>
    <w:rsid w:val="00A25B5E"/>
    <w:rsid w:val="00A3062E"/>
    <w:rsid w:val="00A30981"/>
    <w:rsid w:val="00A34C4B"/>
    <w:rsid w:val="00A34D81"/>
    <w:rsid w:val="00A52AA9"/>
    <w:rsid w:val="00A6210D"/>
    <w:rsid w:val="00A759C6"/>
    <w:rsid w:val="00A76933"/>
    <w:rsid w:val="00A7743B"/>
    <w:rsid w:val="00A80F31"/>
    <w:rsid w:val="00A82E70"/>
    <w:rsid w:val="00A86433"/>
    <w:rsid w:val="00A97B61"/>
    <w:rsid w:val="00AB721A"/>
    <w:rsid w:val="00AC0F1B"/>
    <w:rsid w:val="00AC4D8E"/>
    <w:rsid w:val="00AC553D"/>
    <w:rsid w:val="00AD1576"/>
    <w:rsid w:val="00AE4F60"/>
    <w:rsid w:val="00AE5A46"/>
    <w:rsid w:val="00AF07D9"/>
    <w:rsid w:val="00AF12FC"/>
    <w:rsid w:val="00AF37D1"/>
    <w:rsid w:val="00B0029F"/>
    <w:rsid w:val="00B00C01"/>
    <w:rsid w:val="00B112E8"/>
    <w:rsid w:val="00B16703"/>
    <w:rsid w:val="00B170AB"/>
    <w:rsid w:val="00B216CE"/>
    <w:rsid w:val="00B21D58"/>
    <w:rsid w:val="00B32449"/>
    <w:rsid w:val="00B32AB3"/>
    <w:rsid w:val="00B35CC1"/>
    <w:rsid w:val="00B405A6"/>
    <w:rsid w:val="00B43A81"/>
    <w:rsid w:val="00B459F4"/>
    <w:rsid w:val="00B572A4"/>
    <w:rsid w:val="00B6261F"/>
    <w:rsid w:val="00B67664"/>
    <w:rsid w:val="00B85B7C"/>
    <w:rsid w:val="00B87BBF"/>
    <w:rsid w:val="00B97BD0"/>
    <w:rsid w:val="00BA0DC0"/>
    <w:rsid w:val="00BA53D0"/>
    <w:rsid w:val="00BA663F"/>
    <w:rsid w:val="00BA72A4"/>
    <w:rsid w:val="00BB22EC"/>
    <w:rsid w:val="00BD200E"/>
    <w:rsid w:val="00BD5149"/>
    <w:rsid w:val="00BD5B9F"/>
    <w:rsid w:val="00BE7019"/>
    <w:rsid w:val="00BF0124"/>
    <w:rsid w:val="00BF5A4E"/>
    <w:rsid w:val="00C1359E"/>
    <w:rsid w:val="00C15CAD"/>
    <w:rsid w:val="00C21CC1"/>
    <w:rsid w:val="00C23A26"/>
    <w:rsid w:val="00C24C27"/>
    <w:rsid w:val="00C3059D"/>
    <w:rsid w:val="00C31F5F"/>
    <w:rsid w:val="00C32B68"/>
    <w:rsid w:val="00C41736"/>
    <w:rsid w:val="00C41EDF"/>
    <w:rsid w:val="00C54B67"/>
    <w:rsid w:val="00C61EDF"/>
    <w:rsid w:val="00C62F01"/>
    <w:rsid w:val="00C643FE"/>
    <w:rsid w:val="00C6488B"/>
    <w:rsid w:val="00C66E7A"/>
    <w:rsid w:val="00C67FA8"/>
    <w:rsid w:val="00C74507"/>
    <w:rsid w:val="00C83154"/>
    <w:rsid w:val="00C83FD9"/>
    <w:rsid w:val="00C86568"/>
    <w:rsid w:val="00C9025D"/>
    <w:rsid w:val="00C911C2"/>
    <w:rsid w:val="00C9441F"/>
    <w:rsid w:val="00C94FAC"/>
    <w:rsid w:val="00CA18CD"/>
    <w:rsid w:val="00CA2EC1"/>
    <w:rsid w:val="00CA4613"/>
    <w:rsid w:val="00CB5AED"/>
    <w:rsid w:val="00CB6824"/>
    <w:rsid w:val="00CC0B4E"/>
    <w:rsid w:val="00CC4916"/>
    <w:rsid w:val="00CC5F3C"/>
    <w:rsid w:val="00CD0819"/>
    <w:rsid w:val="00CD5C3B"/>
    <w:rsid w:val="00CE4CDC"/>
    <w:rsid w:val="00CF3CA8"/>
    <w:rsid w:val="00CF3CC3"/>
    <w:rsid w:val="00CF4C42"/>
    <w:rsid w:val="00CF54A5"/>
    <w:rsid w:val="00CF718C"/>
    <w:rsid w:val="00D07623"/>
    <w:rsid w:val="00D27B35"/>
    <w:rsid w:val="00D35611"/>
    <w:rsid w:val="00D3668F"/>
    <w:rsid w:val="00D36C09"/>
    <w:rsid w:val="00D40E94"/>
    <w:rsid w:val="00D42F24"/>
    <w:rsid w:val="00D5670A"/>
    <w:rsid w:val="00D6114B"/>
    <w:rsid w:val="00D66BB7"/>
    <w:rsid w:val="00D70173"/>
    <w:rsid w:val="00D82619"/>
    <w:rsid w:val="00D91955"/>
    <w:rsid w:val="00D95063"/>
    <w:rsid w:val="00DA0A1D"/>
    <w:rsid w:val="00DA1B95"/>
    <w:rsid w:val="00DA47AA"/>
    <w:rsid w:val="00DB1F64"/>
    <w:rsid w:val="00DB374C"/>
    <w:rsid w:val="00DC2EB0"/>
    <w:rsid w:val="00DC7382"/>
    <w:rsid w:val="00DD3D04"/>
    <w:rsid w:val="00DD674E"/>
    <w:rsid w:val="00E00702"/>
    <w:rsid w:val="00E00B17"/>
    <w:rsid w:val="00E02C0F"/>
    <w:rsid w:val="00E02C17"/>
    <w:rsid w:val="00E12705"/>
    <w:rsid w:val="00E15140"/>
    <w:rsid w:val="00E202AD"/>
    <w:rsid w:val="00E2502B"/>
    <w:rsid w:val="00E26F0D"/>
    <w:rsid w:val="00E311BF"/>
    <w:rsid w:val="00E31BE5"/>
    <w:rsid w:val="00E33961"/>
    <w:rsid w:val="00E365E8"/>
    <w:rsid w:val="00E4625A"/>
    <w:rsid w:val="00E61185"/>
    <w:rsid w:val="00E704AD"/>
    <w:rsid w:val="00E92695"/>
    <w:rsid w:val="00E95AE4"/>
    <w:rsid w:val="00E976F6"/>
    <w:rsid w:val="00EA0E17"/>
    <w:rsid w:val="00EA4DAE"/>
    <w:rsid w:val="00EA5491"/>
    <w:rsid w:val="00EA6CB3"/>
    <w:rsid w:val="00EB2226"/>
    <w:rsid w:val="00EB3C16"/>
    <w:rsid w:val="00EC09BB"/>
    <w:rsid w:val="00EC2A7B"/>
    <w:rsid w:val="00EC56EE"/>
    <w:rsid w:val="00ED0D23"/>
    <w:rsid w:val="00ED4E26"/>
    <w:rsid w:val="00EE0EB6"/>
    <w:rsid w:val="00EE25BB"/>
    <w:rsid w:val="00EE7977"/>
    <w:rsid w:val="00F007ED"/>
    <w:rsid w:val="00F02230"/>
    <w:rsid w:val="00F04DE1"/>
    <w:rsid w:val="00F1195A"/>
    <w:rsid w:val="00F12BD5"/>
    <w:rsid w:val="00F146D7"/>
    <w:rsid w:val="00F20E26"/>
    <w:rsid w:val="00F21913"/>
    <w:rsid w:val="00F21CC7"/>
    <w:rsid w:val="00F231A0"/>
    <w:rsid w:val="00F27C9D"/>
    <w:rsid w:val="00F324CC"/>
    <w:rsid w:val="00F374D2"/>
    <w:rsid w:val="00F46565"/>
    <w:rsid w:val="00F50EC7"/>
    <w:rsid w:val="00F518DB"/>
    <w:rsid w:val="00F647E6"/>
    <w:rsid w:val="00F71CD9"/>
    <w:rsid w:val="00F71D7A"/>
    <w:rsid w:val="00F74EED"/>
    <w:rsid w:val="00F80397"/>
    <w:rsid w:val="00F82BE4"/>
    <w:rsid w:val="00FB2850"/>
    <w:rsid w:val="00FB2B6F"/>
    <w:rsid w:val="00FB2D6F"/>
    <w:rsid w:val="00FB413F"/>
    <w:rsid w:val="00FB5567"/>
    <w:rsid w:val="00FC29C5"/>
    <w:rsid w:val="00FC3360"/>
    <w:rsid w:val="00FC52F6"/>
    <w:rsid w:val="00FE1356"/>
    <w:rsid w:val="00FE4945"/>
    <w:rsid w:val="00FE52B0"/>
    <w:rsid w:val="00FE5723"/>
    <w:rsid w:val="00FE761A"/>
    <w:rsid w:val="00FF6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heme="minorBidi"/>
        <w:sz w:val="22"/>
        <w:szCs w:val="22"/>
        <w:lang w:val="en-US" w:eastAsia="en-US" w:bidi="ar-SA"/>
      </w:rPr>
    </w:rPrDefault>
    <w:pPrDefault>
      <w:pPr>
        <w:spacing w:before="220" w:after="220"/>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iPriority="99"/>
    <w:lsdException w:name="annotation text" w:uiPriority="99"/>
    <w:lsdException w:name="header" w:uiPriority="99"/>
    <w:lsdException w:name="footer" w:uiPriority="99"/>
    <w:lsdException w:name="index heading" w:uiPriority="99"/>
    <w:lsdException w:name="envelope address" w:uiPriority="99"/>
    <w:lsdException w:name="envelope return" w:uiPriority="99"/>
    <w:lsdException w:name="footnote reference" w:uiPriority="1"/>
    <w:lsdException w:name="toa heading" w:uiPriority="99"/>
    <w:lsdException w:name="List Bullet" w:qFormat="1"/>
    <w:lsdException w:name="List Number" w:qFormat="1"/>
    <w:lsdException w:name="Title" w:semiHidden="0" w:uiPriority="10" w:unhideWhenUsed="0" w:qFormat="1"/>
    <w:lsdException w:name="Default Paragraph Font" w:uiPriority="1"/>
    <w:lsdException w:name="Body Text" w:qFormat="1"/>
    <w:lsdException w:name="List Continue" w:qFormat="1"/>
    <w:lsdException w:name="Message Header" w:uiPriority="99"/>
    <w:lsdException w:name="Subtitle" w:semiHidden="0" w:uiPriority="11" w:unhideWhenUsed="0" w:qFormat="1"/>
    <w:lsdException w:name="Hyperlink" w:uiPriority="99"/>
    <w:lsdException w:name="FollowedHyperlink" w:uiPriority="1"/>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lsdException w:name="Subtle Reference" w:uiPriority="31" w:unhideWhenUsed="0"/>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rsid w:val="00994EC6"/>
    <w:pPr>
      <w:spacing w:after="0"/>
    </w:pPr>
    <w:rPr>
      <w:rFonts w:cs="Arial"/>
      <w:szCs w:val="20"/>
    </w:rPr>
  </w:style>
  <w:style w:type="paragraph" w:styleId="Heading1">
    <w:name w:val="heading 1"/>
    <w:basedOn w:val="Normal"/>
    <w:next w:val="BodyText"/>
    <w:link w:val="Heading1Char"/>
    <w:uiPriority w:val="9"/>
    <w:qFormat/>
    <w:rsid w:val="0060039B"/>
    <w:pPr>
      <w:keepNext/>
      <w:spacing w:after="220"/>
      <w:outlineLvl w:val="0"/>
    </w:pPr>
    <w:rPr>
      <w:rFonts w:cs="Times New Roman"/>
      <w:b/>
      <w:bCs/>
      <w:kern w:val="32"/>
      <w:sz w:val="24"/>
      <w:szCs w:val="26"/>
    </w:rPr>
  </w:style>
  <w:style w:type="paragraph" w:styleId="Heading2">
    <w:name w:val="heading 2"/>
    <w:basedOn w:val="Normal"/>
    <w:next w:val="BodyText"/>
    <w:link w:val="Heading2Char"/>
    <w:qFormat/>
    <w:rsid w:val="0060039B"/>
    <w:pPr>
      <w:keepNext/>
      <w:spacing w:after="220"/>
      <w:outlineLvl w:val="1"/>
    </w:pPr>
    <w:rPr>
      <w:rFonts w:cs="Times New Roman"/>
      <w:bCs/>
      <w:iCs/>
      <w:sz w:val="24"/>
      <w:szCs w:val="25"/>
      <w:u w:val="single"/>
    </w:rPr>
  </w:style>
  <w:style w:type="paragraph" w:styleId="Heading3">
    <w:name w:val="heading 3"/>
    <w:basedOn w:val="Normal"/>
    <w:next w:val="BodyText"/>
    <w:link w:val="Heading3Char"/>
    <w:qFormat/>
    <w:rsid w:val="0060039B"/>
    <w:pPr>
      <w:keepNext/>
      <w:spacing w:after="220"/>
      <w:ind w:left="360"/>
      <w:outlineLvl w:val="2"/>
    </w:pPr>
    <w:rPr>
      <w:rFonts w:cs="Times New Roman"/>
      <w:b/>
      <w:bCs/>
      <w:sz w:val="24"/>
      <w:szCs w:val="26"/>
    </w:rPr>
  </w:style>
  <w:style w:type="paragraph" w:styleId="Heading4">
    <w:name w:val="heading 4"/>
    <w:basedOn w:val="Normal"/>
    <w:next w:val="BodyText"/>
    <w:link w:val="Heading4Char"/>
    <w:uiPriority w:val="9"/>
    <w:rsid w:val="0060039B"/>
    <w:pPr>
      <w:keepNext/>
      <w:spacing w:after="220"/>
      <w:ind w:left="360"/>
      <w:outlineLvl w:val="3"/>
    </w:pPr>
    <w:rPr>
      <w:rFonts w:cs="Times New Roman"/>
      <w:bCs/>
      <w:sz w:val="24"/>
      <w:szCs w:val="28"/>
      <w:u w:val="single"/>
    </w:rPr>
  </w:style>
  <w:style w:type="paragraph" w:styleId="Heading5">
    <w:name w:val="heading 5"/>
    <w:basedOn w:val="Normal"/>
    <w:next w:val="Normal"/>
    <w:link w:val="Heading5Char"/>
    <w:uiPriority w:val="9"/>
    <w:semiHidden/>
    <w:rsid w:val="0060039B"/>
    <w:pPr>
      <w:spacing w:before="240" w:after="60"/>
      <w:outlineLvl w:val="4"/>
    </w:pPr>
    <w:rPr>
      <w:rFonts w:ascii="ITCCentury Book" w:hAnsi="ITCCentury Book" w:cs="Times New Roman"/>
      <w:b/>
      <w:bCs/>
      <w:i/>
      <w:iCs/>
      <w:sz w:val="26"/>
      <w:szCs w:val="26"/>
    </w:rPr>
  </w:style>
  <w:style w:type="paragraph" w:styleId="Heading6">
    <w:name w:val="heading 6"/>
    <w:basedOn w:val="Normal"/>
    <w:next w:val="Normal"/>
    <w:link w:val="Heading6Char"/>
    <w:uiPriority w:val="9"/>
    <w:semiHidden/>
    <w:rsid w:val="0060039B"/>
    <w:pPr>
      <w:spacing w:before="240" w:after="60"/>
      <w:outlineLvl w:val="5"/>
    </w:pPr>
    <w:rPr>
      <w:rFonts w:ascii="ITCCentury Book" w:hAnsi="ITCCentury Book" w:cs="Times New Roman"/>
      <w:b/>
      <w:bCs/>
      <w:szCs w:val="22"/>
    </w:rPr>
  </w:style>
  <w:style w:type="paragraph" w:styleId="Heading7">
    <w:name w:val="heading 7"/>
    <w:basedOn w:val="Normal"/>
    <w:next w:val="Normal"/>
    <w:link w:val="Heading7Char"/>
    <w:uiPriority w:val="9"/>
    <w:semiHidden/>
    <w:rsid w:val="0060039B"/>
    <w:pPr>
      <w:spacing w:before="240" w:after="60"/>
      <w:outlineLvl w:val="6"/>
    </w:pPr>
    <w:rPr>
      <w:rFonts w:ascii="ITCCentury Book" w:hAnsi="ITCCentury Book" w:cs="Times New Roman"/>
      <w:szCs w:val="24"/>
    </w:rPr>
  </w:style>
  <w:style w:type="paragraph" w:styleId="Heading8">
    <w:name w:val="heading 8"/>
    <w:basedOn w:val="Normal"/>
    <w:next w:val="Normal"/>
    <w:link w:val="Heading8Char"/>
    <w:uiPriority w:val="9"/>
    <w:semiHidden/>
    <w:rsid w:val="0060039B"/>
    <w:pPr>
      <w:spacing w:before="240" w:after="60"/>
      <w:outlineLvl w:val="7"/>
    </w:pPr>
    <w:rPr>
      <w:rFonts w:ascii="ITCCentury Book" w:hAnsi="ITCCentury Book" w:cs="Times New Roman"/>
      <w:i/>
      <w:iCs/>
      <w:szCs w:val="24"/>
    </w:rPr>
  </w:style>
  <w:style w:type="paragraph" w:styleId="Heading9">
    <w:name w:val="heading 9"/>
    <w:basedOn w:val="Normal"/>
    <w:next w:val="Normal"/>
    <w:link w:val="Heading9Char"/>
    <w:uiPriority w:val="9"/>
    <w:semiHidden/>
    <w:rsid w:val="0060039B"/>
    <w:pPr>
      <w:spacing w:before="240" w:after="60"/>
      <w:outlineLvl w:val="8"/>
    </w:pPr>
    <w:rPr>
      <w:rFonts w:ascii="ITCCentury Book" w:hAnsi="ITCCentury Book"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0039B"/>
    <w:pPr>
      <w:numPr>
        <w:numId w:val="12"/>
      </w:numPr>
    </w:pPr>
  </w:style>
  <w:style w:type="numbering" w:styleId="1ai">
    <w:name w:val="Outline List 1"/>
    <w:basedOn w:val="NoList"/>
    <w:semiHidden/>
    <w:rsid w:val="0060039B"/>
    <w:pPr>
      <w:numPr>
        <w:numId w:val="11"/>
      </w:numPr>
    </w:pPr>
  </w:style>
  <w:style w:type="character" w:customStyle="1" w:styleId="Heading1Char">
    <w:name w:val="Heading 1 Char"/>
    <w:basedOn w:val="DefaultParagraphFont"/>
    <w:link w:val="Heading1"/>
    <w:uiPriority w:val="9"/>
    <w:rsid w:val="0060039B"/>
    <w:rPr>
      <w:rFonts w:cs="Times New Roman"/>
      <w:b/>
      <w:bCs/>
      <w:kern w:val="32"/>
      <w:sz w:val="24"/>
      <w:szCs w:val="26"/>
    </w:rPr>
  </w:style>
  <w:style w:type="character" w:customStyle="1" w:styleId="Heading2Char">
    <w:name w:val="Heading 2 Char"/>
    <w:basedOn w:val="DefaultParagraphFont"/>
    <w:link w:val="Heading2"/>
    <w:rsid w:val="0060039B"/>
    <w:rPr>
      <w:rFonts w:cs="Times New Roman"/>
      <w:bCs/>
      <w:iCs/>
      <w:sz w:val="24"/>
      <w:szCs w:val="25"/>
      <w:u w:val="single"/>
    </w:rPr>
  </w:style>
  <w:style w:type="character" w:customStyle="1" w:styleId="Heading3Char">
    <w:name w:val="Heading 3 Char"/>
    <w:basedOn w:val="DefaultParagraphFont"/>
    <w:link w:val="Heading3"/>
    <w:rsid w:val="0060039B"/>
    <w:rPr>
      <w:rFonts w:cs="Times New Roman"/>
      <w:b/>
      <w:bCs/>
      <w:sz w:val="24"/>
      <w:szCs w:val="26"/>
    </w:rPr>
  </w:style>
  <w:style w:type="character" w:customStyle="1" w:styleId="Heading4Char">
    <w:name w:val="Heading 4 Char"/>
    <w:basedOn w:val="DefaultParagraphFont"/>
    <w:link w:val="Heading4"/>
    <w:uiPriority w:val="9"/>
    <w:rsid w:val="0060039B"/>
    <w:rPr>
      <w:rFonts w:cs="Times New Roman"/>
      <w:bCs/>
      <w:sz w:val="24"/>
      <w:szCs w:val="28"/>
      <w:u w:val="single"/>
    </w:rPr>
  </w:style>
  <w:style w:type="character" w:customStyle="1" w:styleId="Heading5Char">
    <w:name w:val="Heading 5 Char"/>
    <w:basedOn w:val="DefaultParagraphFont"/>
    <w:link w:val="Heading5"/>
    <w:uiPriority w:val="9"/>
    <w:semiHidden/>
    <w:rsid w:val="0060039B"/>
    <w:rPr>
      <w:rFonts w:ascii="ITCCentury Book" w:hAnsi="ITCCentury Book" w:cs="Times New Roman"/>
      <w:b/>
      <w:bCs/>
      <w:i/>
      <w:iCs/>
      <w:sz w:val="26"/>
      <w:szCs w:val="26"/>
    </w:rPr>
  </w:style>
  <w:style w:type="character" w:customStyle="1" w:styleId="Heading6Char">
    <w:name w:val="Heading 6 Char"/>
    <w:basedOn w:val="DefaultParagraphFont"/>
    <w:link w:val="Heading6"/>
    <w:uiPriority w:val="9"/>
    <w:semiHidden/>
    <w:rsid w:val="00FC3360"/>
    <w:rPr>
      <w:rFonts w:ascii="ITCCentury Book" w:hAnsi="ITCCentury Book" w:cs="Times New Roman"/>
      <w:b/>
      <w:bCs/>
    </w:rPr>
  </w:style>
  <w:style w:type="character" w:customStyle="1" w:styleId="Heading7Char">
    <w:name w:val="Heading 7 Char"/>
    <w:basedOn w:val="DefaultParagraphFont"/>
    <w:link w:val="Heading7"/>
    <w:uiPriority w:val="9"/>
    <w:semiHidden/>
    <w:rsid w:val="00FC3360"/>
    <w:rPr>
      <w:rFonts w:ascii="ITCCentury Book" w:hAnsi="ITCCentury Book" w:cs="Times New Roman"/>
      <w:szCs w:val="24"/>
    </w:rPr>
  </w:style>
  <w:style w:type="character" w:customStyle="1" w:styleId="Heading8Char">
    <w:name w:val="Heading 8 Char"/>
    <w:basedOn w:val="DefaultParagraphFont"/>
    <w:link w:val="Heading8"/>
    <w:uiPriority w:val="9"/>
    <w:semiHidden/>
    <w:rsid w:val="00FC3360"/>
    <w:rPr>
      <w:rFonts w:ascii="ITCCentury Book" w:hAnsi="ITCCentury Book" w:cs="Times New Roman"/>
      <w:i/>
      <w:iCs/>
      <w:szCs w:val="24"/>
    </w:rPr>
  </w:style>
  <w:style w:type="character" w:customStyle="1" w:styleId="Heading9Char">
    <w:name w:val="Heading 9 Char"/>
    <w:basedOn w:val="DefaultParagraphFont"/>
    <w:link w:val="Heading9"/>
    <w:uiPriority w:val="9"/>
    <w:semiHidden/>
    <w:rsid w:val="00FC3360"/>
    <w:rPr>
      <w:rFonts w:ascii="ITCCentury Book" w:hAnsi="ITCCentury Book" w:cs="Times New Roman"/>
    </w:rPr>
  </w:style>
  <w:style w:type="numbering" w:styleId="ArticleSection">
    <w:name w:val="Outline List 3"/>
    <w:basedOn w:val="NoList"/>
    <w:semiHidden/>
    <w:rsid w:val="0060039B"/>
    <w:pPr>
      <w:numPr>
        <w:numId w:val="13"/>
      </w:numPr>
    </w:pPr>
  </w:style>
  <w:style w:type="paragraph" w:styleId="BodyText">
    <w:name w:val="Body Text"/>
    <w:basedOn w:val="Normal"/>
    <w:link w:val="BodyTextChar"/>
    <w:qFormat/>
    <w:rsid w:val="0060039B"/>
    <w:pPr>
      <w:spacing w:after="220"/>
    </w:pPr>
  </w:style>
  <w:style w:type="character" w:customStyle="1" w:styleId="BodyTextChar">
    <w:name w:val="Body Text Char"/>
    <w:basedOn w:val="DefaultParagraphFont"/>
    <w:link w:val="BodyText"/>
    <w:rsid w:val="0060039B"/>
    <w:rPr>
      <w:rFonts w:cs="Arial"/>
      <w:szCs w:val="20"/>
    </w:rPr>
  </w:style>
  <w:style w:type="paragraph" w:styleId="BalloonText">
    <w:name w:val="Balloon Text"/>
    <w:basedOn w:val="Normal"/>
    <w:link w:val="BalloonTextChar"/>
    <w:uiPriority w:val="99"/>
    <w:semiHidden/>
    <w:unhideWhenUsed/>
    <w:rsid w:val="0060039B"/>
    <w:rPr>
      <w:sz w:val="16"/>
      <w:szCs w:val="16"/>
    </w:rPr>
  </w:style>
  <w:style w:type="character" w:customStyle="1" w:styleId="BalloonTextChar">
    <w:name w:val="Balloon Text Char"/>
    <w:basedOn w:val="DefaultParagraphFont"/>
    <w:link w:val="BalloonText"/>
    <w:uiPriority w:val="99"/>
    <w:semiHidden/>
    <w:rsid w:val="0060039B"/>
    <w:rPr>
      <w:rFonts w:cs="Arial"/>
      <w:sz w:val="16"/>
      <w:szCs w:val="16"/>
    </w:rPr>
  </w:style>
  <w:style w:type="paragraph" w:styleId="BlockText">
    <w:name w:val="Block Text"/>
    <w:basedOn w:val="Normal"/>
    <w:semiHidden/>
    <w:rsid w:val="0060039B"/>
    <w:pPr>
      <w:spacing w:after="120"/>
      <w:ind w:left="1440" w:right="1440"/>
    </w:pPr>
  </w:style>
  <w:style w:type="paragraph" w:styleId="BodyText2">
    <w:name w:val="Body Text 2"/>
    <w:basedOn w:val="Normal"/>
    <w:link w:val="BodyText2Char"/>
    <w:semiHidden/>
    <w:rsid w:val="0060039B"/>
    <w:pPr>
      <w:spacing w:after="120" w:line="480" w:lineRule="auto"/>
    </w:pPr>
  </w:style>
  <w:style w:type="character" w:customStyle="1" w:styleId="BodyText2Char">
    <w:name w:val="Body Text 2 Char"/>
    <w:basedOn w:val="DefaultParagraphFont"/>
    <w:link w:val="BodyText2"/>
    <w:semiHidden/>
    <w:rsid w:val="0060039B"/>
    <w:rPr>
      <w:rFonts w:cs="Arial"/>
      <w:szCs w:val="20"/>
    </w:rPr>
  </w:style>
  <w:style w:type="paragraph" w:styleId="BodyText3">
    <w:name w:val="Body Text 3"/>
    <w:basedOn w:val="Normal"/>
    <w:link w:val="BodyText3Char"/>
    <w:semiHidden/>
    <w:rsid w:val="0060039B"/>
    <w:pPr>
      <w:spacing w:after="120"/>
    </w:pPr>
    <w:rPr>
      <w:sz w:val="16"/>
      <w:szCs w:val="16"/>
    </w:rPr>
  </w:style>
  <w:style w:type="character" w:customStyle="1" w:styleId="BodyText3Char">
    <w:name w:val="Body Text 3 Char"/>
    <w:basedOn w:val="DefaultParagraphFont"/>
    <w:link w:val="BodyText3"/>
    <w:semiHidden/>
    <w:rsid w:val="0060039B"/>
    <w:rPr>
      <w:rFonts w:cs="Arial"/>
      <w:sz w:val="16"/>
      <w:szCs w:val="16"/>
    </w:rPr>
  </w:style>
  <w:style w:type="paragraph" w:styleId="BodyTextFirstIndent">
    <w:name w:val="Body Text First Indent"/>
    <w:basedOn w:val="BodyText"/>
    <w:link w:val="BodyTextFirstIndentChar"/>
    <w:semiHidden/>
    <w:rsid w:val="0060039B"/>
    <w:pPr>
      <w:ind w:firstLine="210"/>
    </w:pPr>
  </w:style>
  <w:style w:type="character" w:customStyle="1" w:styleId="BodyTextFirstIndentChar">
    <w:name w:val="Body Text First Indent Char"/>
    <w:basedOn w:val="BodyTextChar"/>
    <w:link w:val="BodyTextFirstIndent"/>
    <w:semiHidden/>
    <w:rsid w:val="0060039B"/>
  </w:style>
  <w:style w:type="paragraph" w:styleId="BodyTextIndent">
    <w:name w:val="Body Text Indent"/>
    <w:basedOn w:val="Normal"/>
    <w:link w:val="BodyTextIndentChar"/>
    <w:semiHidden/>
    <w:unhideWhenUsed/>
    <w:rsid w:val="0060039B"/>
    <w:pPr>
      <w:spacing w:after="120"/>
      <w:ind w:left="360"/>
    </w:pPr>
  </w:style>
  <w:style w:type="character" w:customStyle="1" w:styleId="BodyTextIndentChar">
    <w:name w:val="Body Text Indent Char"/>
    <w:basedOn w:val="DefaultParagraphFont"/>
    <w:link w:val="BodyTextIndent"/>
    <w:semiHidden/>
    <w:rsid w:val="0060039B"/>
    <w:rPr>
      <w:rFonts w:cs="Arial"/>
      <w:szCs w:val="20"/>
    </w:rPr>
  </w:style>
  <w:style w:type="paragraph" w:styleId="BodyTextFirstIndent2">
    <w:name w:val="Body Text First Indent 2"/>
    <w:basedOn w:val="BodyTextIndent"/>
    <w:link w:val="BodyTextFirstIndent2Char"/>
    <w:semiHidden/>
    <w:rsid w:val="0060039B"/>
    <w:pPr>
      <w:ind w:firstLine="210"/>
    </w:pPr>
  </w:style>
  <w:style w:type="character" w:customStyle="1" w:styleId="BodyTextFirstIndent2Char">
    <w:name w:val="Body Text First Indent 2 Char"/>
    <w:basedOn w:val="BodyTextIndentChar"/>
    <w:link w:val="BodyTextFirstIndent2"/>
    <w:semiHidden/>
    <w:rsid w:val="0060039B"/>
  </w:style>
  <w:style w:type="paragraph" w:styleId="BodyTextIndent2">
    <w:name w:val="Body Text Indent 2"/>
    <w:basedOn w:val="Normal"/>
    <w:link w:val="BodyTextIndent2Char"/>
    <w:semiHidden/>
    <w:unhideWhenUsed/>
    <w:rsid w:val="0060039B"/>
    <w:pPr>
      <w:spacing w:after="120" w:line="480" w:lineRule="auto"/>
      <w:ind w:left="360"/>
    </w:pPr>
  </w:style>
  <w:style w:type="character" w:customStyle="1" w:styleId="BodyTextIndent2Char">
    <w:name w:val="Body Text Indent 2 Char"/>
    <w:basedOn w:val="DefaultParagraphFont"/>
    <w:link w:val="BodyTextIndent2"/>
    <w:semiHidden/>
    <w:rsid w:val="0060039B"/>
    <w:rPr>
      <w:rFonts w:cs="Arial"/>
      <w:szCs w:val="20"/>
    </w:rPr>
  </w:style>
  <w:style w:type="paragraph" w:styleId="BodyTextIndent3">
    <w:name w:val="Body Text Indent 3"/>
    <w:basedOn w:val="Normal"/>
    <w:link w:val="BodyTextIndent3Char"/>
    <w:semiHidden/>
    <w:rsid w:val="0060039B"/>
    <w:pPr>
      <w:spacing w:after="120"/>
      <w:ind w:left="360"/>
    </w:pPr>
    <w:rPr>
      <w:sz w:val="16"/>
      <w:szCs w:val="16"/>
    </w:rPr>
  </w:style>
  <w:style w:type="character" w:customStyle="1" w:styleId="BodyTextIndent3Char">
    <w:name w:val="Body Text Indent 3 Char"/>
    <w:basedOn w:val="DefaultParagraphFont"/>
    <w:link w:val="BodyTextIndent3"/>
    <w:semiHidden/>
    <w:rsid w:val="0060039B"/>
    <w:rPr>
      <w:rFonts w:cs="Arial"/>
      <w:sz w:val="16"/>
      <w:szCs w:val="16"/>
    </w:rPr>
  </w:style>
  <w:style w:type="paragraph" w:customStyle="1" w:styleId="TableCellLeft">
    <w:name w:val="Table Cell Left"/>
    <w:semiHidden/>
    <w:qFormat/>
    <w:rsid w:val="0060039B"/>
    <w:pPr>
      <w:spacing w:before="20" w:after="60"/>
    </w:pPr>
    <w:rPr>
      <w:rFonts w:cs="Arial"/>
      <w:color w:val="000000"/>
      <w:szCs w:val="20"/>
    </w:rPr>
  </w:style>
  <w:style w:type="paragraph" w:styleId="Caption">
    <w:name w:val="caption"/>
    <w:basedOn w:val="Normal"/>
    <w:next w:val="Normal"/>
    <w:semiHidden/>
    <w:rsid w:val="0060039B"/>
    <w:pPr>
      <w:spacing w:before="120" w:after="120"/>
    </w:pPr>
    <w:rPr>
      <w:b/>
      <w:bCs/>
      <w:sz w:val="20"/>
    </w:rPr>
  </w:style>
  <w:style w:type="paragraph" w:styleId="Closing">
    <w:name w:val="Closing"/>
    <w:basedOn w:val="Normal"/>
    <w:link w:val="ClosingChar"/>
    <w:semiHidden/>
    <w:rsid w:val="0060039B"/>
    <w:pPr>
      <w:ind w:left="4320"/>
    </w:pPr>
  </w:style>
  <w:style w:type="character" w:customStyle="1" w:styleId="ClosingChar">
    <w:name w:val="Closing Char"/>
    <w:basedOn w:val="DefaultParagraphFont"/>
    <w:link w:val="Closing"/>
    <w:semiHidden/>
    <w:rsid w:val="0060039B"/>
    <w:rPr>
      <w:rFonts w:cs="Arial"/>
      <w:szCs w:val="20"/>
    </w:rPr>
  </w:style>
  <w:style w:type="character" w:styleId="CommentReference">
    <w:name w:val="annotation reference"/>
    <w:basedOn w:val="DefaultParagraphFont"/>
    <w:semiHidden/>
    <w:rsid w:val="0060039B"/>
    <w:rPr>
      <w:sz w:val="16"/>
      <w:szCs w:val="16"/>
    </w:rPr>
  </w:style>
  <w:style w:type="paragraph" w:styleId="CommentText">
    <w:name w:val="annotation text"/>
    <w:basedOn w:val="Normal"/>
    <w:link w:val="CommentTextChar"/>
    <w:uiPriority w:val="99"/>
    <w:semiHidden/>
    <w:unhideWhenUsed/>
    <w:rsid w:val="0060039B"/>
    <w:rPr>
      <w:sz w:val="20"/>
    </w:rPr>
  </w:style>
  <w:style w:type="character" w:customStyle="1" w:styleId="CommentTextChar">
    <w:name w:val="Comment Text Char"/>
    <w:basedOn w:val="DefaultParagraphFont"/>
    <w:link w:val="CommentText"/>
    <w:uiPriority w:val="99"/>
    <w:semiHidden/>
    <w:rsid w:val="0060039B"/>
    <w:rPr>
      <w:rFonts w:cs="Arial"/>
      <w:sz w:val="20"/>
      <w:szCs w:val="20"/>
    </w:rPr>
  </w:style>
  <w:style w:type="paragraph" w:styleId="CommentSubject">
    <w:name w:val="annotation subject"/>
    <w:basedOn w:val="CommentText"/>
    <w:next w:val="CommentText"/>
    <w:link w:val="CommentSubjectChar"/>
    <w:semiHidden/>
    <w:rsid w:val="0060039B"/>
    <w:rPr>
      <w:b/>
      <w:bCs/>
    </w:rPr>
  </w:style>
  <w:style w:type="character" w:customStyle="1" w:styleId="CommentSubjectChar">
    <w:name w:val="Comment Subject Char"/>
    <w:basedOn w:val="CommentTextChar"/>
    <w:link w:val="CommentSubject"/>
    <w:semiHidden/>
    <w:rsid w:val="0060039B"/>
    <w:rPr>
      <w:b/>
      <w:bCs/>
    </w:rPr>
  </w:style>
  <w:style w:type="paragraph" w:customStyle="1" w:styleId="Contents">
    <w:name w:val="Contents"/>
    <w:basedOn w:val="Title"/>
    <w:uiPriority w:val="1"/>
    <w:semiHidden/>
    <w:rsid w:val="0060039B"/>
    <w:pPr>
      <w:framePr w:w="10800" w:h="1080" w:hRule="exact" w:hSpace="187" w:vSpace="187" w:wrap="auto" w:vAnchor="page" w:hAnchor="page" w:x="649" w:y="865"/>
      <w:shd w:val="clear" w:color="auto" w:fill="FFFFFF"/>
      <w:spacing w:before="20" w:after="0" w:line="580" w:lineRule="exact"/>
      <w:outlineLvl w:val="9"/>
    </w:pPr>
    <w:rPr>
      <w:rFonts w:cs="Arial"/>
      <w:bCs w:val="0"/>
      <w:color w:val="000000"/>
      <w:sz w:val="54"/>
      <w:szCs w:val="20"/>
    </w:rPr>
  </w:style>
  <w:style w:type="paragraph" w:styleId="Date">
    <w:name w:val="Date"/>
    <w:basedOn w:val="Normal"/>
    <w:next w:val="Normal"/>
    <w:link w:val="DateChar"/>
    <w:semiHidden/>
    <w:rsid w:val="0060039B"/>
  </w:style>
  <w:style w:type="character" w:customStyle="1" w:styleId="DateChar">
    <w:name w:val="Date Char"/>
    <w:basedOn w:val="DefaultParagraphFont"/>
    <w:link w:val="Date"/>
    <w:semiHidden/>
    <w:rsid w:val="0060039B"/>
    <w:rPr>
      <w:rFonts w:cs="Arial"/>
      <w:szCs w:val="20"/>
    </w:rPr>
  </w:style>
  <w:style w:type="paragraph" w:styleId="DocumentMap">
    <w:name w:val="Document Map"/>
    <w:basedOn w:val="Normal"/>
    <w:link w:val="DocumentMapChar"/>
    <w:uiPriority w:val="99"/>
    <w:semiHidden/>
    <w:unhideWhenUsed/>
    <w:rsid w:val="0060039B"/>
    <w:rPr>
      <w:sz w:val="16"/>
      <w:szCs w:val="16"/>
    </w:rPr>
  </w:style>
  <w:style w:type="character" w:customStyle="1" w:styleId="DocumentMapChar">
    <w:name w:val="Document Map Char"/>
    <w:basedOn w:val="DefaultParagraphFont"/>
    <w:link w:val="DocumentMap"/>
    <w:uiPriority w:val="99"/>
    <w:semiHidden/>
    <w:rsid w:val="0060039B"/>
    <w:rPr>
      <w:rFonts w:cs="Arial"/>
      <w:sz w:val="16"/>
      <w:szCs w:val="16"/>
    </w:rPr>
  </w:style>
  <w:style w:type="paragraph" w:styleId="E-mailSignature">
    <w:name w:val="E-mail Signature"/>
    <w:basedOn w:val="Normal"/>
    <w:link w:val="E-mailSignatureChar"/>
    <w:semiHidden/>
    <w:rsid w:val="0060039B"/>
  </w:style>
  <w:style w:type="character" w:customStyle="1" w:styleId="E-mailSignatureChar">
    <w:name w:val="E-mail Signature Char"/>
    <w:basedOn w:val="DefaultParagraphFont"/>
    <w:link w:val="E-mailSignature"/>
    <w:semiHidden/>
    <w:rsid w:val="0060039B"/>
    <w:rPr>
      <w:rFonts w:cs="Arial"/>
      <w:szCs w:val="20"/>
    </w:rPr>
  </w:style>
  <w:style w:type="character" w:styleId="Emphasis">
    <w:name w:val="Emphasis"/>
    <w:basedOn w:val="DefaultParagraphFont"/>
    <w:semiHidden/>
    <w:rsid w:val="0060039B"/>
    <w:rPr>
      <w:i/>
      <w:iCs/>
    </w:rPr>
  </w:style>
  <w:style w:type="character" w:styleId="EndnoteReference">
    <w:name w:val="endnote reference"/>
    <w:basedOn w:val="DefaultParagraphFont"/>
    <w:semiHidden/>
    <w:rsid w:val="0060039B"/>
    <w:rPr>
      <w:vertAlign w:val="superscript"/>
    </w:rPr>
  </w:style>
  <w:style w:type="paragraph" w:styleId="EndnoteText">
    <w:name w:val="endnote text"/>
    <w:basedOn w:val="Normal"/>
    <w:link w:val="EndnoteTextChar"/>
    <w:rsid w:val="0060039B"/>
    <w:rPr>
      <w:sz w:val="20"/>
    </w:rPr>
  </w:style>
  <w:style w:type="character" w:customStyle="1" w:styleId="EndnoteTextChar">
    <w:name w:val="Endnote Text Char"/>
    <w:basedOn w:val="DefaultParagraphFont"/>
    <w:link w:val="EndnoteText"/>
    <w:rsid w:val="0060039B"/>
    <w:rPr>
      <w:rFonts w:cs="Arial"/>
      <w:sz w:val="20"/>
      <w:szCs w:val="20"/>
    </w:rPr>
  </w:style>
  <w:style w:type="paragraph" w:styleId="EnvelopeAddress">
    <w:name w:val="envelope address"/>
    <w:basedOn w:val="Normal"/>
    <w:uiPriority w:val="99"/>
    <w:semiHidden/>
    <w:unhideWhenUsed/>
    <w:rsid w:val="0060039B"/>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60039B"/>
    <w:rPr>
      <w:sz w:val="20"/>
    </w:rPr>
  </w:style>
  <w:style w:type="paragraph" w:customStyle="1" w:styleId="FigureTableSource-Note">
    <w:name w:val="Figure/Table Source-Note"/>
    <w:basedOn w:val="TableCellLeft"/>
    <w:next w:val="BodyText"/>
    <w:semiHidden/>
    <w:rsid w:val="0060039B"/>
    <w:pPr>
      <w:spacing w:before="60"/>
    </w:pPr>
    <w:rPr>
      <w:sz w:val="16"/>
    </w:rPr>
  </w:style>
  <w:style w:type="character" w:styleId="FollowedHyperlink">
    <w:name w:val="FollowedHyperlink"/>
    <w:basedOn w:val="DefaultParagraphFont"/>
    <w:uiPriority w:val="1"/>
    <w:semiHidden/>
    <w:rsid w:val="0060039B"/>
    <w:rPr>
      <w:color w:val="0000FF"/>
      <w:u w:val="none"/>
    </w:rPr>
  </w:style>
  <w:style w:type="paragraph" w:styleId="Footer">
    <w:name w:val="footer"/>
    <w:basedOn w:val="Normal"/>
    <w:link w:val="FooterChar"/>
    <w:uiPriority w:val="99"/>
    <w:rsid w:val="0060039B"/>
    <w:pPr>
      <w:tabs>
        <w:tab w:val="center" w:pos="4680"/>
        <w:tab w:val="right" w:pos="9360"/>
      </w:tabs>
    </w:pPr>
    <w:rPr>
      <w:sz w:val="20"/>
    </w:rPr>
  </w:style>
  <w:style w:type="character" w:customStyle="1" w:styleId="FooterChar">
    <w:name w:val="Footer Char"/>
    <w:basedOn w:val="DefaultParagraphFont"/>
    <w:link w:val="Footer"/>
    <w:uiPriority w:val="99"/>
    <w:rsid w:val="0060039B"/>
    <w:rPr>
      <w:rFonts w:cs="Arial"/>
      <w:sz w:val="20"/>
      <w:szCs w:val="20"/>
    </w:rPr>
  </w:style>
  <w:style w:type="character" w:styleId="FootnoteReference">
    <w:name w:val="footnote reference"/>
    <w:basedOn w:val="DefaultParagraphFont"/>
    <w:uiPriority w:val="1"/>
    <w:semiHidden/>
    <w:rsid w:val="0060039B"/>
    <w:rPr>
      <w:rFonts w:ascii="Arial" w:hAnsi="Arial"/>
      <w:spacing w:val="0"/>
      <w:w w:val="100"/>
      <w:position w:val="-2"/>
      <w:sz w:val="22"/>
      <w:vertAlign w:val="superscript"/>
    </w:rPr>
  </w:style>
  <w:style w:type="paragraph" w:styleId="FootnoteText">
    <w:name w:val="footnote text"/>
    <w:basedOn w:val="Normal"/>
    <w:link w:val="FootnoteTextChar"/>
    <w:rsid w:val="0060039B"/>
    <w:pPr>
      <w:spacing w:after="160"/>
    </w:pPr>
    <w:rPr>
      <w:sz w:val="18"/>
    </w:rPr>
  </w:style>
  <w:style w:type="character" w:customStyle="1" w:styleId="FootnoteTextChar">
    <w:name w:val="Footnote Text Char"/>
    <w:basedOn w:val="DefaultParagraphFont"/>
    <w:link w:val="FootnoteText"/>
    <w:rsid w:val="0060039B"/>
    <w:rPr>
      <w:rFonts w:cs="Arial"/>
      <w:sz w:val="18"/>
      <w:szCs w:val="20"/>
    </w:rPr>
  </w:style>
  <w:style w:type="table" w:customStyle="1" w:styleId="GAOTable">
    <w:name w:val="GAO Table"/>
    <w:basedOn w:val="TableNormal"/>
    <w:rsid w:val="0060039B"/>
    <w:pPr>
      <w:spacing w:after="0"/>
    </w:pPr>
    <w:rPr>
      <w:rFonts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Normal"/>
    <w:link w:val="HeaderChar"/>
    <w:uiPriority w:val="99"/>
    <w:rsid w:val="0060039B"/>
    <w:pPr>
      <w:tabs>
        <w:tab w:val="center" w:pos="4680"/>
        <w:tab w:val="right" w:pos="9360"/>
      </w:tabs>
    </w:pPr>
    <w:rPr>
      <w:sz w:val="20"/>
    </w:rPr>
  </w:style>
  <w:style w:type="character" w:customStyle="1" w:styleId="HeaderChar">
    <w:name w:val="Header Char"/>
    <w:basedOn w:val="DefaultParagraphFont"/>
    <w:link w:val="Header"/>
    <w:uiPriority w:val="99"/>
    <w:rsid w:val="0060039B"/>
    <w:rPr>
      <w:rFonts w:cs="Arial"/>
      <w:sz w:val="20"/>
      <w:szCs w:val="20"/>
    </w:rPr>
  </w:style>
  <w:style w:type="paragraph" w:customStyle="1" w:styleId="heading-base">
    <w:name w:val="heading-base"/>
    <w:semiHidden/>
    <w:rsid w:val="0060039B"/>
    <w:pPr>
      <w:keepNext/>
      <w:keepLines/>
      <w:spacing w:before="120" w:after="120"/>
    </w:pPr>
    <w:rPr>
      <w:rFonts w:ascii="ITCCentury Book" w:hAnsi="ITCCentury Book" w:cs="Times New Roman"/>
      <w:color w:val="000000"/>
      <w:sz w:val="24"/>
      <w:szCs w:val="24"/>
    </w:rPr>
  </w:style>
  <w:style w:type="character" w:styleId="HTMLAcronym">
    <w:name w:val="HTML Acronym"/>
    <w:basedOn w:val="DefaultParagraphFont"/>
    <w:semiHidden/>
    <w:rsid w:val="0060039B"/>
  </w:style>
  <w:style w:type="paragraph" w:styleId="HTMLAddress">
    <w:name w:val="HTML Address"/>
    <w:basedOn w:val="Normal"/>
    <w:link w:val="HTMLAddressChar"/>
    <w:semiHidden/>
    <w:rsid w:val="0060039B"/>
    <w:rPr>
      <w:i/>
      <w:iCs/>
    </w:rPr>
  </w:style>
  <w:style w:type="character" w:customStyle="1" w:styleId="HTMLAddressChar">
    <w:name w:val="HTML Address Char"/>
    <w:basedOn w:val="DefaultParagraphFont"/>
    <w:link w:val="HTMLAddress"/>
    <w:semiHidden/>
    <w:rsid w:val="0060039B"/>
    <w:rPr>
      <w:rFonts w:cs="Arial"/>
      <w:i/>
      <w:iCs/>
      <w:szCs w:val="20"/>
    </w:rPr>
  </w:style>
  <w:style w:type="character" w:styleId="HTMLCite">
    <w:name w:val="HTML Cite"/>
    <w:basedOn w:val="DefaultParagraphFont"/>
    <w:semiHidden/>
    <w:rsid w:val="0060039B"/>
    <w:rPr>
      <w:i/>
      <w:iCs/>
    </w:rPr>
  </w:style>
  <w:style w:type="character" w:styleId="HTMLCode">
    <w:name w:val="HTML Code"/>
    <w:basedOn w:val="DefaultParagraphFont"/>
    <w:semiHidden/>
    <w:rsid w:val="0060039B"/>
    <w:rPr>
      <w:rFonts w:ascii="Courier New" w:hAnsi="Courier New" w:cs="Courier New"/>
      <w:sz w:val="20"/>
      <w:szCs w:val="20"/>
    </w:rPr>
  </w:style>
  <w:style w:type="character" w:styleId="HTMLDefinition">
    <w:name w:val="HTML Definition"/>
    <w:basedOn w:val="DefaultParagraphFont"/>
    <w:semiHidden/>
    <w:rsid w:val="0060039B"/>
    <w:rPr>
      <w:i/>
      <w:iCs/>
    </w:rPr>
  </w:style>
  <w:style w:type="character" w:styleId="HTMLKeyboard">
    <w:name w:val="HTML Keyboard"/>
    <w:basedOn w:val="DefaultParagraphFont"/>
    <w:semiHidden/>
    <w:rsid w:val="0060039B"/>
    <w:rPr>
      <w:rFonts w:ascii="Courier New" w:hAnsi="Courier New" w:cs="Courier New"/>
      <w:sz w:val="20"/>
      <w:szCs w:val="20"/>
    </w:rPr>
  </w:style>
  <w:style w:type="paragraph" w:styleId="HTMLPreformatted">
    <w:name w:val="HTML Preformatted"/>
    <w:basedOn w:val="Normal"/>
    <w:link w:val="HTMLPreformattedChar"/>
    <w:semiHidden/>
    <w:rsid w:val="0060039B"/>
    <w:rPr>
      <w:rFonts w:ascii="Courier New" w:hAnsi="Courier New" w:cs="Courier New"/>
      <w:sz w:val="20"/>
    </w:rPr>
  </w:style>
  <w:style w:type="character" w:customStyle="1" w:styleId="HTMLPreformattedChar">
    <w:name w:val="HTML Preformatted Char"/>
    <w:basedOn w:val="DefaultParagraphFont"/>
    <w:link w:val="HTMLPreformatted"/>
    <w:semiHidden/>
    <w:rsid w:val="0060039B"/>
    <w:rPr>
      <w:rFonts w:ascii="Courier New" w:hAnsi="Courier New" w:cs="Courier New"/>
      <w:sz w:val="20"/>
      <w:szCs w:val="20"/>
    </w:rPr>
  </w:style>
  <w:style w:type="character" w:styleId="HTMLSample">
    <w:name w:val="HTML Sample"/>
    <w:basedOn w:val="DefaultParagraphFont"/>
    <w:semiHidden/>
    <w:rsid w:val="0060039B"/>
    <w:rPr>
      <w:rFonts w:ascii="Courier New" w:hAnsi="Courier New" w:cs="Courier New"/>
    </w:rPr>
  </w:style>
  <w:style w:type="character" w:styleId="HTMLTypewriter">
    <w:name w:val="HTML Typewriter"/>
    <w:basedOn w:val="DefaultParagraphFont"/>
    <w:semiHidden/>
    <w:rsid w:val="0060039B"/>
    <w:rPr>
      <w:rFonts w:ascii="Courier New" w:hAnsi="Courier New" w:cs="Courier New"/>
      <w:sz w:val="20"/>
      <w:szCs w:val="20"/>
    </w:rPr>
  </w:style>
  <w:style w:type="character" w:styleId="HTMLVariable">
    <w:name w:val="HTML Variable"/>
    <w:basedOn w:val="DefaultParagraphFont"/>
    <w:semiHidden/>
    <w:rsid w:val="0060039B"/>
    <w:rPr>
      <w:i/>
      <w:iCs/>
    </w:rPr>
  </w:style>
  <w:style w:type="character" w:styleId="Hyperlink">
    <w:name w:val="Hyperlink"/>
    <w:basedOn w:val="DefaultParagraphFont"/>
    <w:uiPriority w:val="99"/>
    <w:rsid w:val="0060039B"/>
    <w:rPr>
      <w:color w:val="0000FF"/>
      <w:u w:val="none"/>
    </w:rPr>
  </w:style>
  <w:style w:type="paragraph" w:styleId="Index1">
    <w:name w:val="index 1"/>
    <w:basedOn w:val="Normal"/>
    <w:next w:val="Normal"/>
    <w:autoRedefine/>
    <w:uiPriority w:val="99"/>
    <w:semiHidden/>
    <w:unhideWhenUsed/>
    <w:rsid w:val="0060039B"/>
    <w:pPr>
      <w:ind w:left="240" w:hanging="240"/>
    </w:pPr>
  </w:style>
  <w:style w:type="paragraph" w:styleId="Index2">
    <w:name w:val="index 2"/>
    <w:basedOn w:val="Normal"/>
    <w:next w:val="Normal"/>
    <w:autoRedefine/>
    <w:semiHidden/>
    <w:rsid w:val="0060039B"/>
    <w:pPr>
      <w:ind w:left="480" w:hanging="240"/>
    </w:pPr>
  </w:style>
  <w:style w:type="paragraph" w:styleId="Index3">
    <w:name w:val="index 3"/>
    <w:basedOn w:val="Normal"/>
    <w:next w:val="Normal"/>
    <w:autoRedefine/>
    <w:semiHidden/>
    <w:rsid w:val="0060039B"/>
    <w:pPr>
      <w:ind w:left="720" w:hanging="240"/>
    </w:pPr>
  </w:style>
  <w:style w:type="paragraph" w:styleId="Index4">
    <w:name w:val="index 4"/>
    <w:basedOn w:val="Normal"/>
    <w:next w:val="Normal"/>
    <w:autoRedefine/>
    <w:semiHidden/>
    <w:rsid w:val="0060039B"/>
    <w:pPr>
      <w:ind w:left="960" w:hanging="240"/>
    </w:pPr>
  </w:style>
  <w:style w:type="paragraph" w:styleId="Index5">
    <w:name w:val="index 5"/>
    <w:basedOn w:val="Normal"/>
    <w:next w:val="Normal"/>
    <w:autoRedefine/>
    <w:semiHidden/>
    <w:rsid w:val="0060039B"/>
    <w:pPr>
      <w:ind w:left="1200" w:hanging="240"/>
    </w:pPr>
  </w:style>
  <w:style w:type="paragraph" w:styleId="Index6">
    <w:name w:val="index 6"/>
    <w:basedOn w:val="Normal"/>
    <w:next w:val="Normal"/>
    <w:autoRedefine/>
    <w:semiHidden/>
    <w:rsid w:val="0060039B"/>
    <w:pPr>
      <w:ind w:left="1440" w:hanging="240"/>
    </w:pPr>
  </w:style>
  <w:style w:type="paragraph" w:styleId="Index7">
    <w:name w:val="index 7"/>
    <w:basedOn w:val="Normal"/>
    <w:next w:val="Normal"/>
    <w:autoRedefine/>
    <w:semiHidden/>
    <w:rsid w:val="0060039B"/>
    <w:pPr>
      <w:ind w:left="1680" w:hanging="240"/>
    </w:pPr>
  </w:style>
  <w:style w:type="paragraph" w:styleId="Index8">
    <w:name w:val="index 8"/>
    <w:basedOn w:val="Normal"/>
    <w:next w:val="Normal"/>
    <w:autoRedefine/>
    <w:semiHidden/>
    <w:rsid w:val="0060039B"/>
    <w:pPr>
      <w:ind w:left="1920" w:hanging="240"/>
    </w:pPr>
  </w:style>
  <w:style w:type="paragraph" w:styleId="Index9">
    <w:name w:val="index 9"/>
    <w:basedOn w:val="Normal"/>
    <w:next w:val="Normal"/>
    <w:autoRedefine/>
    <w:semiHidden/>
    <w:rsid w:val="0060039B"/>
    <w:pPr>
      <w:ind w:left="2160" w:hanging="240"/>
    </w:pPr>
  </w:style>
  <w:style w:type="paragraph" w:styleId="IndexHeading">
    <w:name w:val="index heading"/>
    <w:basedOn w:val="Normal"/>
    <w:next w:val="Index1"/>
    <w:uiPriority w:val="99"/>
    <w:semiHidden/>
    <w:unhideWhenUsed/>
    <w:rsid w:val="0060039B"/>
    <w:rPr>
      <w:rFonts w:ascii="ITCCentury Book" w:hAnsi="ITCCentury Book" w:cs="Times New Roman"/>
      <w:b/>
      <w:bCs/>
    </w:rPr>
  </w:style>
  <w:style w:type="character" w:styleId="LineNumber">
    <w:name w:val="line number"/>
    <w:basedOn w:val="DefaultParagraphFont"/>
    <w:semiHidden/>
    <w:rsid w:val="0060039B"/>
  </w:style>
  <w:style w:type="paragraph" w:styleId="List">
    <w:name w:val="List"/>
    <w:basedOn w:val="Normal"/>
    <w:semiHidden/>
    <w:rsid w:val="0060039B"/>
    <w:pPr>
      <w:ind w:left="360" w:hanging="360"/>
    </w:pPr>
  </w:style>
  <w:style w:type="paragraph" w:styleId="List2">
    <w:name w:val="List 2"/>
    <w:basedOn w:val="Normal"/>
    <w:semiHidden/>
    <w:rsid w:val="0060039B"/>
    <w:pPr>
      <w:ind w:left="720" w:hanging="360"/>
    </w:pPr>
  </w:style>
  <w:style w:type="paragraph" w:styleId="List3">
    <w:name w:val="List 3"/>
    <w:basedOn w:val="Normal"/>
    <w:semiHidden/>
    <w:rsid w:val="0060039B"/>
    <w:pPr>
      <w:ind w:left="1080" w:hanging="360"/>
    </w:pPr>
  </w:style>
  <w:style w:type="paragraph" w:styleId="List4">
    <w:name w:val="List 4"/>
    <w:basedOn w:val="Normal"/>
    <w:semiHidden/>
    <w:rsid w:val="0060039B"/>
    <w:pPr>
      <w:ind w:left="1440" w:hanging="360"/>
    </w:pPr>
  </w:style>
  <w:style w:type="paragraph" w:styleId="List5">
    <w:name w:val="List 5"/>
    <w:basedOn w:val="Normal"/>
    <w:semiHidden/>
    <w:rsid w:val="0060039B"/>
    <w:pPr>
      <w:ind w:left="1800" w:hanging="360"/>
    </w:pPr>
  </w:style>
  <w:style w:type="paragraph" w:styleId="ListBullet">
    <w:name w:val="List Bullet"/>
    <w:basedOn w:val="Normal"/>
    <w:qFormat/>
    <w:rsid w:val="0060039B"/>
    <w:pPr>
      <w:numPr>
        <w:numId w:val="1"/>
      </w:numPr>
      <w:spacing w:after="220"/>
      <w:contextualSpacing/>
    </w:pPr>
  </w:style>
  <w:style w:type="paragraph" w:styleId="ListBullet2">
    <w:name w:val="List Bullet 2"/>
    <w:basedOn w:val="Normal"/>
    <w:rsid w:val="0060039B"/>
    <w:pPr>
      <w:numPr>
        <w:numId w:val="3"/>
      </w:numPr>
      <w:spacing w:after="220"/>
      <w:contextualSpacing/>
    </w:pPr>
  </w:style>
  <w:style w:type="paragraph" w:styleId="ListBullet3">
    <w:name w:val="List Bullet 3"/>
    <w:basedOn w:val="Normal"/>
    <w:rsid w:val="0060039B"/>
    <w:pPr>
      <w:numPr>
        <w:numId w:val="4"/>
      </w:numPr>
      <w:spacing w:after="220"/>
      <w:contextualSpacing/>
    </w:pPr>
  </w:style>
  <w:style w:type="paragraph" w:styleId="ListBullet4">
    <w:name w:val="List Bullet 4"/>
    <w:basedOn w:val="Normal"/>
    <w:semiHidden/>
    <w:rsid w:val="0060039B"/>
    <w:pPr>
      <w:numPr>
        <w:numId w:val="5"/>
      </w:numPr>
      <w:spacing w:after="220"/>
      <w:contextualSpacing/>
    </w:pPr>
  </w:style>
  <w:style w:type="paragraph" w:styleId="ListBullet5">
    <w:name w:val="List Bullet 5"/>
    <w:basedOn w:val="Normal"/>
    <w:semiHidden/>
    <w:rsid w:val="0060039B"/>
    <w:pPr>
      <w:numPr>
        <w:numId w:val="6"/>
      </w:numPr>
      <w:spacing w:after="220"/>
      <w:contextualSpacing/>
    </w:pPr>
  </w:style>
  <w:style w:type="paragraph" w:styleId="ListContinue">
    <w:name w:val="List Continue"/>
    <w:basedOn w:val="Normal"/>
    <w:qFormat/>
    <w:rsid w:val="0060039B"/>
    <w:pPr>
      <w:spacing w:after="220"/>
      <w:ind w:left="360"/>
    </w:pPr>
  </w:style>
  <w:style w:type="paragraph" w:styleId="ListContinue2">
    <w:name w:val="List Continue 2"/>
    <w:basedOn w:val="Normal"/>
    <w:rsid w:val="0060039B"/>
    <w:pPr>
      <w:spacing w:after="220"/>
      <w:ind w:left="720"/>
      <w:contextualSpacing/>
    </w:pPr>
  </w:style>
  <w:style w:type="paragraph" w:styleId="ListContinue3">
    <w:name w:val="List Continue 3"/>
    <w:basedOn w:val="Normal"/>
    <w:rsid w:val="0060039B"/>
    <w:pPr>
      <w:spacing w:after="220"/>
      <w:ind w:left="1080"/>
      <w:contextualSpacing/>
    </w:pPr>
  </w:style>
  <w:style w:type="paragraph" w:styleId="ListContinue4">
    <w:name w:val="List Continue 4"/>
    <w:basedOn w:val="Normal"/>
    <w:semiHidden/>
    <w:rsid w:val="0060039B"/>
    <w:pPr>
      <w:spacing w:after="220"/>
      <w:ind w:left="1440"/>
      <w:contextualSpacing/>
    </w:pPr>
  </w:style>
  <w:style w:type="paragraph" w:styleId="ListContinue5">
    <w:name w:val="List Continue 5"/>
    <w:basedOn w:val="Normal"/>
    <w:semiHidden/>
    <w:rsid w:val="0060039B"/>
    <w:pPr>
      <w:spacing w:after="220"/>
      <w:ind w:left="1800"/>
      <w:contextualSpacing/>
    </w:pPr>
  </w:style>
  <w:style w:type="paragraph" w:styleId="ListNumber">
    <w:name w:val="List Number"/>
    <w:basedOn w:val="Normal"/>
    <w:qFormat/>
    <w:rsid w:val="0060039B"/>
    <w:pPr>
      <w:numPr>
        <w:numId w:val="2"/>
      </w:numPr>
      <w:spacing w:after="220"/>
      <w:contextualSpacing/>
    </w:pPr>
  </w:style>
  <w:style w:type="paragraph" w:styleId="ListNumber2">
    <w:name w:val="List Number 2"/>
    <w:basedOn w:val="Normal"/>
    <w:rsid w:val="0060039B"/>
    <w:pPr>
      <w:numPr>
        <w:numId w:val="7"/>
      </w:numPr>
      <w:spacing w:after="220"/>
      <w:contextualSpacing/>
    </w:pPr>
  </w:style>
  <w:style w:type="paragraph" w:styleId="ListNumber3">
    <w:name w:val="List Number 3"/>
    <w:basedOn w:val="Normal"/>
    <w:rsid w:val="0060039B"/>
    <w:pPr>
      <w:numPr>
        <w:numId w:val="8"/>
      </w:numPr>
      <w:spacing w:after="220"/>
      <w:contextualSpacing/>
    </w:pPr>
  </w:style>
  <w:style w:type="paragraph" w:styleId="ListNumber4">
    <w:name w:val="List Number 4"/>
    <w:basedOn w:val="Normal"/>
    <w:semiHidden/>
    <w:rsid w:val="0060039B"/>
    <w:pPr>
      <w:numPr>
        <w:numId w:val="9"/>
      </w:numPr>
      <w:spacing w:after="220"/>
      <w:contextualSpacing/>
    </w:pPr>
  </w:style>
  <w:style w:type="paragraph" w:styleId="ListNumber5">
    <w:name w:val="List Number 5"/>
    <w:basedOn w:val="Normal"/>
    <w:semiHidden/>
    <w:rsid w:val="0060039B"/>
    <w:pPr>
      <w:numPr>
        <w:numId w:val="10"/>
      </w:numPr>
      <w:spacing w:after="220"/>
      <w:contextualSpacing/>
    </w:pPr>
  </w:style>
  <w:style w:type="paragraph" w:customStyle="1" w:styleId="ListOutline">
    <w:name w:val="List Outline"/>
    <w:qFormat/>
    <w:rsid w:val="0060039B"/>
    <w:pPr>
      <w:numPr>
        <w:numId w:val="14"/>
      </w:numPr>
    </w:pPr>
    <w:rPr>
      <w:rFonts w:cs="Arial"/>
      <w:color w:val="000000"/>
      <w:szCs w:val="24"/>
    </w:rPr>
  </w:style>
  <w:style w:type="paragraph" w:customStyle="1" w:styleId="ListOutline2">
    <w:name w:val="List Outline 2"/>
    <w:basedOn w:val="ListOutline"/>
    <w:rsid w:val="0060039B"/>
    <w:pPr>
      <w:numPr>
        <w:ilvl w:val="1"/>
      </w:numPr>
    </w:pPr>
  </w:style>
  <w:style w:type="paragraph" w:customStyle="1" w:styleId="ListOutline3">
    <w:name w:val="List Outline 3"/>
    <w:basedOn w:val="ListOutline2"/>
    <w:rsid w:val="0060039B"/>
    <w:pPr>
      <w:numPr>
        <w:ilvl w:val="2"/>
      </w:numPr>
    </w:pPr>
  </w:style>
  <w:style w:type="paragraph" w:customStyle="1" w:styleId="ListOutline4">
    <w:name w:val="List Outline 4"/>
    <w:basedOn w:val="ListOutline3"/>
    <w:semiHidden/>
    <w:rsid w:val="0060039B"/>
    <w:pPr>
      <w:numPr>
        <w:ilvl w:val="3"/>
      </w:numPr>
    </w:pPr>
  </w:style>
  <w:style w:type="paragraph" w:customStyle="1" w:styleId="ListOutline5">
    <w:name w:val="List Outline 5"/>
    <w:basedOn w:val="ListOutline4"/>
    <w:semiHidden/>
    <w:rsid w:val="0060039B"/>
    <w:pPr>
      <w:numPr>
        <w:ilvl w:val="4"/>
      </w:numPr>
    </w:pPr>
  </w:style>
  <w:style w:type="paragraph" w:customStyle="1" w:styleId="ListOutline6">
    <w:name w:val="List Outline 6"/>
    <w:basedOn w:val="ListOutline5"/>
    <w:semiHidden/>
    <w:rsid w:val="0060039B"/>
    <w:pPr>
      <w:numPr>
        <w:ilvl w:val="5"/>
      </w:numPr>
    </w:pPr>
  </w:style>
  <w:style w:type="paragraph" w:customStyle="1" w:styleId="ListOutline7">
    <w:name w:val="List Outline 7"/>
    <w:basedOn w:val="ListOutline6"/>
    <w:semiHidden/>
    <w:rsid w:val="0060039B"/>
    <w:pPr>
      <w:numPr>
        <w:ilvl w:val="6"/>
      </w:numPr>
    </w:pPr>
  </w:style>
  <w:style w:type="paragraph" w:customStyle="1" w:styleId="ListOutline8">
    <w:name w:val="List Outline 8"/>
    <w:basedOn w:val="ListOutline7"/>
    <w:semiHidden/>
    <w:rsid w:val="0060039B"/>
    <w:pPr>
      <w:numPr>
        <w:ilvl w:val="7"/>
      </w:numPr>
    </w:pPr>
  </w:style>
  <w:style w:type="paragraph" w:customStyle="1" w:styleId="ListOutline9">
    <w:name w:val="List Outline 9"/>
    <w:basedOn w:val="ListOutline8"/>
    <w:semiHidden/>
    <w:rsid w:val="0060039B"/>
    <w:pPr>
      <w:numPr>
        <w:ilvl w:val="8"/>
      </w:numPr>
    </w:pPr>
  </w:style>
  <w:style w:type="paragraph" w:styleId="MacroText">
    <w:name w:val="macro"/>
    <w:link w:val="MacroTextChar"/>
    <w:semiHidden/>
    <w:rsid w:val="0060039B"/>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urier New"/>
      <w:sz w:val="20"/>
      <w:szCs w:val="20"/>
    </w:rPr>
  </w:style>
  <w:style w:type="character" w:customStyle="1" w:styleId="MacroTextChar">
    <w:name w:val="Macro Text Char"/>
    <w:basedOn w:val="DefaultParagraphFont"/>
    <w:link w:val="MacroText"/>
    <w:semiHidden/>
    <w:rsid w:val="0060039B"/>
    <w:rPr>
      <w:rFonts w:ascii="Courier New" w:hAnsi="Courier New" w:cs="Courier New"/>
      <w:sz w:val="20"/>
      <w:szCs w:val="20"/>
    </w:rPr>
  </w:style>
  <w:style w:type="paragraph" w:styleId="MessageHeader">
    <w:name w:val="Message Header"/>
    <w:basedOn w:val="Normal"/>
    <w:link w:val="MessageHeaderChar"/>
    <w:uiPriority w:val="99"/>
    <w:semiHidden/>
    <w:unhideWhenUsed/>
    <w:rsid w:val="0060039B"/>
    <w:pPr>
      <w:pBdr>
        <w:top w:val="single" w:sz="6" w:space="1" w:color="auto"/>
        <w:left w:val="single" w:sz="6" w:space="1" w:color="auto"/>
        <w:bottom w:val="single" w:sz="6" w:space="1" w:color="auto"/>
        <w:right w:val="single" w:sz="6" w:space="1" w:color="auto"/>
      </w:pBdr>
      <w:shd w:val="pct20" w:color="auto" w:fill="auto"/>
      <w:ind w:left="1080" w:hanging="1080"/>
    </w:pPr>
    <w:rPr>
      <w:rFonts w:ascii="ITCCentury Book" w:hAnsi="ITCCentury Book" w:cs="Times New Roman"/>
      <w:szCs w:val="24"/>
    </w:rPr>
  </w:style>
  <w:style w:type="character" w:customStyle="1" w:styleId="MessageHeaderChar">
    <w:name w:val="Message Header Char"/>
    <w:basedOn w:val="DefaultParagraphFont"/>
    <w:link w:val="MessageHeader"/>
    <w:uiPriority w:val="99"/>
    <w:semiHidden/>
    <w:rsid w:val="0060039B"/>
    <w:rPr>
      <w:rFonts w:ascii="ITCCentury Book" w:hAnsi="ITCCentury Book" w:cs="Times New Roman"/>
      <w:szCs w:val="24"/>
      <w:shd w:val="pct20" w:color="auto" w:fill="auto"/>
    </w:rPr>
  </w:style>
  <w:style w:type="paragraph" w:styleId="NormalWeb">
    <w:name w:val="Normal (Web)"/>
    <w:basedOn w:val="Normal"/>
    <w:uiPriority w:val="99"/>
    <w:semiHidden/>
    <w:unhideWhenUsed/>
    <w:rsid w:val="0060039B"/>
    <w:rPr>
      <w:szCs w:val="24"/>
    </w:rPr>
  </w:style>
  <w:style w:type="paragraph" w:styleId="NormalIndent">
    <w:name w:val="Normal Indent"/>
    <w:basedOn w:val="Normal"/>
    <w:semiHidden/>
    <w:rsid w:val="0060039B"/>
    <w:pPr>
      <w:ind w:left="720"/>
    </w:pPr>
  </w:style>
  <w:style w:type="paragraph" w:styleId="NoteHeading">
    <w:name w:val="Note Heading"/>
    <w:basedOn w:val="Normal"/>
    <w:next w:val="Normal"/>
    <w:link w:val="NoteHeadingChar"/>
    <w:semiHidden/>
    <w:rsid w:val="0060039B"/>
  </w:style>
  <w:style w:type="character" w:customStyle="1" w:styleId="NoteHeadingChar">
    <w:name w:val="Note Heading Char"/>
    <w:basedOn w:val="DefaultParagraphFont"/>
    <w:link w:val="NoteHeading"/>
    <w:semiHidden/>
    <w:rsid w:val="0060039B"/>
    <w:rPr>
      <w:rFonts w:cs="Arial"/>
      <w:szCs w:val="20"/>
    </w:rPr>
  </w:style>
  <w:style w:type="character" w:styleId="PageNumber">
    <w:name w:val="page number"/>
    <w:basedOn w:val="DefaultParagraphFont"/>
    <w:semiHidden/>
    <w:rsid w:val="0060039B"/>
  </w:style>
  <w:style w:type="paragraph" w:styleId="PlainText">
    <w:name w:val="Plain Text"/>
    <w:basedOn w:val="Normal"/>
    <w:link w:val="PlainTextChar"/>
    <w:rsid w:val="0060039B"/>
    <w:rPr>
      <w:rFonts w:ascii="Courier New" w:hAnsi="Courier New" w:cs="Courier New"/>
      <w:sz w:val="20"/>
    </w:rPr>
  </w:style>
  <w:style w:type="character" w:customStyle="1" w:styleId="PlainTextChar">
    <w:name w:val="Plain Text Char"/>
    <w:basedOn w:val="DefaultParagraphFont"/>
    <w:link w:val="PlainText"/>
    <w:rsid w:val="0060039B"/>
    <w:rPr>
      <w:rFonts w:ascii="Courier New" w:hAnsi="Courier New" w:cs="Courier New"/>
      <w:sz w:val="20"/>
      <w:szCs w:val="20"/>
    </w:rPr>
  </w:style>
  <w:style w:type="paragraph" w:customStyle="1" w:styleId="ReportSubtitle">
    <w:name w:val="Report Subtitle"/>
    <w:basedOn w:val="ITC36"/>
    <w:semiHidden/>
    <w:rsid w:val="0060039B"/>
    <w:pPr>
      <w:framePr w:w="7459" w:h="7819" w:hSpace="187" w:wrap="auto" w:vAnchor="margin" w:hAnchor="page" w:x="4323" w:y="3207"/>
    </w:pPr>
  </w:style>
  <w:style w:type="paragraph" w:customStyle="1" w:styleId="ReportTitle">
    <w:name w:val="Report Title"/>
    <w:basedOn w:val="ITC36Caps"/>
    <w:semiHidden/>
    <w:rsid w:val="0060039B"/>
    <w:pPr>
      <w:framePr w:w="7459" w:h="7819" w:hSpace="187" w:wrap="auto" w:vAnchor="margin" w:hAnchor="page" w:x="4323" w:y="3207"/>
      <w:spacing w:after="720"/>
    </w:pPr>
  </w:style>
  <w:style w:type="paragraph" w:styleId="Salutation">
    <w:name w:val="Salutation"/>
    <w:basedOn w:val="Normal"/>
    <w:next w:val="Normal"/>
    <w:link w:val="SalutationChar"/>
    <w:semiHidden/>
    <w:rsid w:val="0060039B"/>
  </w:style>
  <w:style w:type="character" w:customStyle="1" w:styleId="SalutationChar">
    <w:name w:val="Salutation Char"/>
    <w:basedOn w:val="DefaultParagraphFont"/>
    <w:link w:val="Salutation"/>
    <w:semiHidden/>
    <w:rsid w:val="0060039B"/>
    <w:rPr>
      <w:rFonts w:cs="Arial"/>
      <w:szCs w:val="20"/>
    </w:rPr>
  </w:style>
  <w:style w:type="paragraph" w:styleId="Signature">
    <w:name w:val="Signature"/>
    <w:basedOn w:val="Normal"/>
    <w:link w:val="SignatureChar"/>
    <w:semiHidden/>
    <w:rsid w:val="0060039B"/>
    <w:pPr>
      <w:ind w:left="4320"/>
    </w:pPr>
  </w:style>
  <w:style w:type="character" w:customStyle="1" w:styleId="SignatureChar">
    <w:name w:val="Signature Char"/>
    <w:basedOn w:val="DefaultParagraphFont"/>
    <w:link w:val="Signature"/>
    <w:semiHidden/>
    <w:rsid w:val="0060039B"/>
    <w:rPr>
      <w:rFonts w:cs="Arial"/>
      <w:szCs w:val="20"/>
    </w:rPr>
  </w:style>
  <w:style w:type="character" w:styleId="Strong">
    <w:name w:val="Strong"/>
    <w:basedOn w:val="DefaultParagraphFont"/>
    <w:semiHidden/>
    <w:rsid w:val="0060039B"/>
    <w:rPr>
      <w:b/>
      <w:bCs/>
    </w:rPr>
  </w:style>
  <w:style w:type="paragraph" w:styleId="Subtitle">
    <w:name w:val="Subtitle"/>
    <w:basedOn w:val="Normal"/>
    <w:next w:val="Normal"/>
    <w:link w:val="SubtitleChar"/>
    <w:uiPriority w:val="11"/>
    <w:rsid w:val="0060039B"/>
    <w:pPr>
      <w:spacing w:after="60"/>
      <w:jc w:val="center"/>
      <w:outlineLvl w:val="1"/>
    </w:pPr>
    <w:rPr>
      <w:rFonts w:cs="Times New Roman"/>
      <w:sz w:val="32"/>
      <w:szCs w:val="24"/>
    </w:rPr>
  </w:style>
  <w:style w:type="character" w:customStyle="1" w:styleId="SubtitleChar">
    <w:name w:val="Subtitle Char"/>
    <w:basedOn w:val="DefaultParagraphFont"/>
    <w:link w:val="Subtitle"/>
    <w:uiPriority w:val="11"/>
    <w:rsid w:val="0060039B"/>
    <w:rPr>
      <w:rFonts w:cs="Times New Roman"/>
      <w:sz w:val="32"/>
      <w:szCs w:val="24"/>
    </w:rPr>
  </w:style>
  <w:style w:type="table" w:styleId="Table3Deffects1">
    <w:name w:val="Table 3D effects 1"/>
    <w:basedOn w:val="TableNormal"/>
    <w:semiHidden/>
    <w:rsid w:val="0060039B"/>
    <w:pPr>
      <w:spacing w:after="0" w:line="260" w:lineRule="atLeast"/>
    </w:pPr>
    <w:rPr>
      <w:rFonts w:ascii="Helvetica" w:hAnsi="Helvetic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0039B"/>
    <w:pPr>
      <w:spacing w:after="0" w:line="260" w:lineRule="atLeast"/>
    </w:pPr>
    <w:rPr>
      <w:rFonts w:ascii="Helvetica" w:hAnsi="Helvetica"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0039B"/>
    <w:pPr>
      <w:spacing w:after="0" w:line="260" w:lineRule="atLeast"/>
    </w:pPr>
    <w:rPr>
      <w:rFonts w:ascii="Helvetica" w:hAnsi="Helvetica"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semiHidden/>
    <w:qFormat/>
    <w:rsid w:val="0060039B"/>
    <w:pPr>
      <w:numPr>
        <w:numId w:val="15"/>
      </w:numPr>
    </w:pPr>
  </w:style>
  <w:style w:type="paragraph" w:customStyle="1" w:styleId="TableCellCenter">
    <w:name w:val="Table Cell Center"/>
    <w:basedOn w:val="TableCellLeft"/>
    <w:semiHidden/>
    <w:qFormat/>
    <w:rsid w:val="0060039B"/>
    <w:pPr>
      <w:jc w:val="center"/>
    </w:pPr>
  </w:style>
  <w:style w:type="paragraph" w:customStyle="1" w:styleId="TableCellRight">
    <w:name w:val="Table Cell Right"/>
    <w:basedOn w:val="TableCellLeft"/>
    <w:semiHidden/>
    <w:qFormat/>
    <w:rsid w:val="0060039B"/>
    <w:pPr>
      <w:jc w:val="right"/>
    </w:pPr>
  </w:style>
  <w:style w:type="table" w:styleId="TableClassic1">
    <w:name w:val="Table Classic 1"/>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0039B"/>
    <w:pPr>
      <w:spacing w:after="0" w:line="260" w:lineRule="atLeast"/>
    </w:pPr>
    <w:rPr>
      <w:rFonts w:ascii="Helvetica" w:hAnsi="Helvetica"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0039B"/>
    <w:pPr>
      <w:spacing w:after="0" w:line="260" w:lineRule="atLeast"/>
    </w:pPr>
    <w:rPr>
      <w:rFonts w:ascii="Helvetica" w:hAnsi="Helvetica"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0039B"/>
    <w:pPr>
      <w:spacing w:after="0"/>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0039B"/>
    <w:pPr>
      <w:spacing w:after="0"/>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0039B"/>
    <w:pPr>
      <w:spacing w:after="0" w:line="260" w:lineRule="atLeast"/>
    </w:pPr>
    <w:rPr>
      <w:rFonts w:ascii="Helvetica" w:hAnsi="Helvetica"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0039B"/>
    <w:pPr>
      <w:spacing w:after="0"/>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0039B"/>
    <w:pPr>
      <w:spacing w:after="0" w:line="260" w:lineRule="atLeast"/>
    </w:pPr>
    <w:rPr>
      <w:rFonts w:ascii="Helvetica" w:hAnsi="Helvetic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0039B"/>
    <w:pPr>
      <w:spacing w:after="0" w:line="260" w:lineRule="atLeast"/>
    </w:pPr>
    <w:rPr>
      <w:rFonts w:ascii="Helvetica" w:hAnsi="Helvetic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0039B"/>
    <w:pPr>
      <w:spacing w:after="0" w:line="260" w:lineRule="atLeast"/>
    </w:pPr>
    <w:rPr>
      <w:rFonts w:ascii="Helvetica" w:hAnsi="Helvetic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0039B"/>
    <w:pPr>
      <w:spacing w:after="0" w:line="260" w:lineRule="atLeast"/>
    </w:pPr>
    <w:rPr>
      <w:rFonts w:ascii="Helvetica" w:hAnsi="Helvetic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0039B"/>
    <w:pPr>
      <w:spacing w:after="0" w:line="260" w:lineRule="atLeast"/>
    </w:pPr>
    <w:rPr>
      <w:rFonts w:ascii="Helvetica" w:hAnsi="Helvetic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94EC6"/>
    <w:pPr>
      <w:spacing w:after="0" w:line="260" w:lineRule="atLeast"/>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0039B"/>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0039B"/>
    <w:pPr>
      <w:spacing w:after="0" w:line="260" w:lineRule="atLeast"/>
    </w:pPr>
    <w:rPr>
      <w:rFonts w:ascii="Helvetica" w:hAnsi="Helvetic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0039B"/>
    <w:pPr>
      <w:spacing w:after="0" w:line="260" w:lineRule="atLeast"/>
    </w:pPr>
    <w:rPr>
      <w:rFonts w:ascii="Helvetica" w:hAnsi="Helvetica"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0039B"/>
    <w:pPr>
      <w:spacing w:after="0" w:line="260" w:lineRule="atLeast"/>
    </w:pPr>
    <w:rPr>
      <w:rFonts w:ascii="Helvetica" w:hAnsi="Helvetica"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0039B"/>
    <w:pPr>
      <w:spacing w:after="0" w:line="260" w:lineRule="atLeast"/>
    </w:pPr>
    <w:rPr>
      <w:rFonts w:ascii="Helvetica" w:hAnsi="Helvetica"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0039B"/>
    <w:pPr>
      <w:spacing w:after="0" w:line="260" w:lineRule="atLeast"/>
    </w:pPr>
    <w:rPr>
      <w:rFonts w:ascii="Helvetica" w:hAnsi="Helvetic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semiHidden/>
    <w:rsid w:val="0060039B"/>
    <w:pPr>
      <w:keepNext/>
      <w:jc w:val="center"/>
    </w:pPr>
    <w:rPr>
      <w:b/>
    </w:rPr>
  </w:style>
  <w:style w:type="paragraph" w:customStyle="1" w:styleId="TableHeadLeft">
    <w:name w:val="Table Head Left"/>
    <w:basedOn w:val="TableCellLeft"/>
    <w:semiHidden/>
    <w:rsid w:val="0060039B"/>
    <w:pPr>
      <w:keepNext/>
    </w:pPr>
    <w:rPr>
      <w:b/>
    </w:rPr>
  </w:style>
  <w:style w:type="paragraph" w:customStyle="1" w:styleId="TableHeadRight">
    <w:name w:val="Table Head Right"/>
    <w:basedOn w:val="TableCellLeft"/>
    <w:semiHidden/>
    <w:rsid w:val="0060039B"/>
    <w:pPr>
      <w:keepNext/>
      <w:jc w:val="right"/>
    </w:pPr>
    <w:rPr>
      <w:b/>
    </w:rPr>
  </w:style>
  <w:style w:type="paragraph" w:customStyle="1" w:styleId="TableIndent">
    <w:name w:val="Table Indent"/>
    <w:basedOn w:val="TableCellLeft"/>
    <w:semiHidden/>
    <w:rsid w:val="0060039B"/>
    <w:pPr>
      <w:ind w:left="360"/>
    </w:pPr>
  </w:style>
  <w:style w:type="paragraph" w:customStyle="1" w:styleId="TableIndent2">
    <w:name w:val="Table Indent 2"/>
    <w:basedOn w:val="TableCellLeft"/>
    <w:semiHidden/>
    <w:rsid w:val="0060039B"/>
    <w:pPr>
      <w:ind w:left="720"/>
    </w:pPr>
  </w:style>
  <w:style w:type="table" w:styleId="TableList1">
    <w:name w:val="Table List 1"/>
    <w:basedOn w:val="TableNormal"/>
    <w:semiHidden/>
    <w:rsid w:val="0060039B"/>
    <w:pPr>
      <w:spacing w:after="0" w:line="260" w:lineRule="atLeast"/>
    </w:pPr>
    <w:rPr>
      <w:rFonts w:ascii="Helvetica" w:hAnsi="Helvetic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0039B"/>
    <w:pPr>
      <w:spacing w:after="0" w:line="260" w:lineRule="atLeast"/>
    </w:pPr>
    <w:rPr>
      <w:rFonts w:ascii="Helvetica" w:hAnsi="Helvetic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0039B"/>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0039B"/>
    <w:pPr>
      <w:spacing w:after="0" w:line="260" w:lineRule="atLeast"/>
    </w:pPr>
    <w:rPr>
      <w:rFonts w:ascii="Helvetica" w:hAnsi="Helvetica"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0039B"/>
    <w:pPr>
      <w:spacing w:after="0" w:line="260" w:lineRule="atLeast"/>
    </w:pPr>
    <w:rPr>
      <w:rFonts w:ascii="Helvetica" w:hAnsi="Helvetica"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0039B"/>
    <w:pPr>
      <w:spacing w:after="0" w:line="260" w:lineRule="atLeast"/>
    </w:pPr>
    <w:rPr>
      <w:rFonts w:ascii="Helvetica" w:hAnsi="Helvetica"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semiHidden/>
    <w:qFormat/>
    <w:rsid w:val="0060039B"/>
    <w:pPr>
      <w:numPr>
        <w:numId w:val="16"/>
      </w:numPr>
    </w:pPr>
  </w:style>
  <w:style w:type="paragraph" w:styleId="TableofAuthorities">
    <w:name w:val="table of authorities"/>
    <w:basedOn w:val="Normal"/>
    <w:next w:val="Normal"/>
    <w:semiHidden/>
    <w:rsid w:val="0060039B"/>
    <w:pPr>
      <w:ind w:left="240" w:hanging="240"/>
    </w:pPr>
  </w:style>
  <w:style w:type="paragraph" w:styleId="TableofFigures">
    <w:name w:val="table of figures"/>
    <w:basedOn w:val="Normal"/>
    <w:next w:val="Normal"/>
    <w:semiHidden/>
    <w:rsid w:val="0060039B"/>
    <w:pPr>
      <w:ind w:left="480" w:hanging="480"/>
    </w:pPr>
  </w:style>
  <w:style w:type="table" w:styleId="TableProfessional">
    <w:name w:val="Table Professional"/>
    <w:basedOn w:val="TableNormal"/>
    <w:semiHidden/>
    <w:rsid w:val="0060039B"/>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0039B"/>
    <w:pPr>
      <w:spacing w:after="0" w:line="260" w:lineRule="atLeast"/>
    </w:pPr>
    <w:rPr>
      <w:rFonts w:ascii="Helvetica" w:hAnsi="Helvetic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0039B"/>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0039B"/>
    <w:pPr>
      <w:spacing w:after="0" w:line="260" w:lineRule="atLeast"/>
    </w:pPr>
    <w:rPr>
      <w:rFonts w:ascii="Helvetica" w:hAnsi="Helvetic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0039B"/>
    <w:pPr>
      <w:spacing w:after="0" w:line="260" w:lineRule="atLeast"/>
    </w:pPr>
    <w:rPr>
      <w:rFonts w:ascii="Helvetica" w:hAnsi="Helvetic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0039B"/>
    <w:pPr>
      <w:spacing w:after="0" w:line="260" w:lineRule="atLeast"/>
    </w:pPr>
    <w:rPr>
      <w:rFonts w:ascii="Helvetica" w:hAnsi="Helvetic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0039B"/>
    <w:pPr>
      <w:spacing w:after="0" w:line="260" w:lineRule="atLeast"/>
    </w:pPr>
    <w:rPr>
      <w:rFonts w:ascii="Helvetica" w:hAnsi="Helvetic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0039B"/>
    <w:pPr>
      <w:spacing w:after="0" w:line="260" w:lineRule="atLeast"/>
    </w:pPr>
    <w:rPr>
      <w:rFonts w:ascii="Helvetica" w:hAnsi="Helvetic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0039B"/>
    <w:pPr>
      <w:spacing w:after="0" w:line="260" w:lineRule="atLeast"/>
    </w:pPr>
    <w:rPr>
      <w:rFonts w:ascii="Helvetica" w:hAnsi="Helvetic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3"/>
    <w:next w:val="Normal"/>
    <w:link w:val="TitleChar"/>
    <w:uiPriority w:val="10"/>
    <w:qFormat/>
    <w:rsid w:val="0060039B"/>
    <w:pPr>
      <w:ind w:left="0"/>
      <w:jc w:val="center"/>
    </w:pPr>
    <w:rPr>
      <w:sz w:val="36"/>
      <w:szCs w:val="25"/>
    </w:rPr>
  </w:style>
  <w:style w:type="character" w:customStyle="1" w:styleId="TitleChar">
    <w:name w:val="Title Char"/>
    <w:basedOn w:val="DefaultParagraphFont"/>
    <w:link w:val="Title"/>
    <w:uiPriority w:val="10"/>
    <w:rsid w:val="0060039B"/>
    <w:rPr>
      <w:rFonts w:cs="Times New Roman"/>
      <w:b/>
      <w:bCs/>
      <w:sz w:val="36"/>
      <w:szCs w:val="25"/>
    </w:rPr>
  </w:style>
  <w:style w:type="paragraph" w:styleId="TOAHeading">
    <w:name w:val="toa heading"/>
    <w:basedOn w:val="Normal"/>
    <w:next w:val="Normal"/>
    <w:uiPriority w:val="99"/>
    <w:semiHidden/>
    <w:unhideWhenUsed/>
    <w:rsid w:val="0060039B"/>
    <w:pPr>
      <w:spacing w:before="120"/>
    </w:pPr>
    <w:rPr>
      <w:rFonts w:ascii="ITCCentury Book" w:hAnsi="ITCCentury Book" w:cs="Times New Roman"/>
      <w:b/>
      <w:bCs/>
      <w:szCs w:val="24"/>
    </w:rPr>
  </w:style>
  <w:style w:type="paragraph" w:styleId="TOC1">
    <w:name w:val="toc 1"/>
    <w:basedOn w:val="Normal"/>
    <w:next w:val="Normal"/>
    <w:autoRedefine/>
    <w:semiHidden/>
    <w:rsid w:val="0060039B"/>
  </w:style>
  <w:style w:type="paragraph" w:styleId="TOC2">
    <w:name w:val="toc 2"/>
    <w:basedOn w:val="Normal"/>
    <w:next w:val="Normal"/>
    <w:autoRedefine/>
    <w:semiHidden/>
    <w:rsid w:val="0060039B"/>
    <w:pPr>
      <w:ind w:left="240"/>
    </w:pPr>
  </w:style>
  <w:style w:type="paragraph" w:styleId="TOC3">
    <w:name w:val="toc 3"/>
    <w:aliases w:val="Head1s"/>
    <w:basedOn w:val="Normal"/>
    <w:next w:val="Normal"/>
    <w:autoRedefine/>
    <w:semiHidden/>
    <w:rsid w:val="0060039B"/>
    <w:pPr>
      <w:ind w:left="480"/>
    </w:pPr>
  </w:style>
  <w:style w:type="paragraph" w:styleId="TOC4">
    <w:name w:val="toc 4"/>
    <w:aliases w:val="Tables"/>
    <w:basedOn w:val="Normal"/>
    <w:next w:val="Normal"/>
    <w:autoRedefine/>
    <w:semiHidden/>
    <w:rsid w:val="0060039B"/>
    <w:pPr>
      <w:ind w:left="720"/>
    </w:pPr>
  </w:style>
  <w:style w:type="paragraph" w:styleId="TOC5">
    <w:name w:val="toc 5"/>
    <w:aliases w:val="Figures"/>
    <w:basedOn w:val="Normal"/>
    <w:next w:val="Normal"/>
    <w:autoRedefine/>
    <w:semiHidden/>
    <w:rsid w:val="0060039B"/>
    <w:pPr>
      <w:ind w:left="960"/>
    </w:pPr>
  </w:style>
  <w:style w:type="paragraph" w:styleId="TOC6">
    <w:name w:val="toc 6"/>
    <w:aliases w:val="Briefing"/>
    <w:basedOn w:val="Normal"/>
    <w:next w:val="Normal"/>
    <w:autoRedefine/>
    <w:semiHidden/>
    <w:rsid w:val="0060039B"/>
    <w:pPr>
      <w:ind w:left="1200"/>
    </w:pPr>
  </w:style>
  <w:style w:type="paragraph" w:styleId="TOC7">
    <w:name w:val="toc 7"/>
    <w:basedOn w:val="Normal"/>
    <w:next w:val="Normal"/>
    <w:autoRedefine/>
    <w:semiHidden/>
    <w:rsid w:val="0060039B"/>
    <w:pPr>
      <w:ind w:left="1440"/>
    </w:pPr>
  </w:style>
  <w:style w:type="paragraph" w:styleId="TOC8">
    <w:name w:val="toc 8"/>
    <w:basedOn w:val="Normal"/>
    <w:next w:val="Normal"/>
    <w:autoRedefine/>
    <w:semiHidden/>
    <w:rsid w:val="0060039B"/>
    <w:pPr>
      <w:ind w:left="1680"/>
    </w:pPr>
  </w:style>
  <w:style w:type="paragraph" w:styleId="TOC9">
    <w:name w:val="toc 9"/>
    <w:basedOn w:val="Normal"/>
    <w:next w:val="Normal"/>
    <w:autoRedefine/>
    <w:semiHidden/>
    <w:rsid w:val="0060039B"/>
    <w:pPr>
      <w:ind w:left="1920"/>
    </w:pPr>
  </w:style>
  <w:style w:type="paragraph" w:styleId="TOCHeading">
    <w:name w:val="TOC Heading"/>
    <w:basedOn w:val="Heading1"/>
    <w:next w:val="Normal"/>
    <w:uiPriority w:val="39"/>
    <w:semiHidden/>
    <w:rsid w:val="0060039B"/>
    <w:pPr>
      <w:outlineLvl w:val="9"/>
    </w:pPr>
  </w:style>
  <w:style w:type="paragraph" w:styleId="Bibliography">
    <w:name w:val="Bibliography"/>
    <w:basedOn w:val="Normal"/>
    <w:next w:val="Normal"/>
    <w:uiPriority w:val="37"/>
    <w:semiHidden/>
    <w:unhideWhenUsed/>
    <w:rsid w:val="0060039B"/>
    <w:pPr>
      <w:spacing w:line="260" w:lineRule="atLeast"/>
    </w:pPr>
    <w:rPr>
      <w:color w:val="000000"/>
    </w:rPr>
  </w:style>
  <w:style w:type="paragraph" w:styleId="IntenseQuote">
    <w:name w:val="Intense Quote"/>
    <w:basedOn w:val="Normal"/>
    <w:next w:val="Normal"/>
    <w:link w:val="IntenseQuoteChar"/>
    <w:semiHidden/>
    <w:unhideWhenUsed/>
    <w:rsid w:val="0060039B"/>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60039B"/>
    <w:rPr>
      <w:rFonts w:cs="Arial"/>
      <w:b/>
      <w:bCs/>
      <w:i/>
      <w:iCs/>
      <w:color w:val="4F81BD"/>
      <w:szCs w:val="20"/>
    </w:rPr>
  </w:style>
  <w:style w:type="paragraph" w:styleId="ListParagraph">
    <w:name w:val="List Paragraph"/>
    <w:basedOn w:val="Normal"/>
    <w:uiPriority w:val="34"/>
    <w:semiHidden/>
    <w:rsid w:val="0060039B"/>
    <w:pPr>
      <w:spacing w:line="260" w:lineRule="atLeast"/>
      <w:ind w:left="720"/>
    </w:pPr>
    <w:rPr>
      <w:color w:val="000000"/>
    </w:rPr>
  </w:style>
  <w:style w:type="paragraph" w:styleId="NoSpacing">
    <w:name w:val="No Spacing"/>
    <w:uiPriority w:val="1"/>
    <w:semiHidden/>
    <w:qFormat/>
    <w:rsid w:val="0060039B"/>
    <w:pPr>
      <w:spacing w:after="0"/>
    </w:pPr>
    <w:rPr>
      <w:rFonts w:cs="Arial"/>
      <w:color w:val="000000"/>
      <w:szCs w:val="20"/>
    </w:rPr>
  </w:style>
  <w:style w:type="paragraph" w:styleId="Quote">
    <w:name w:val="Quote"/>
    <w:basedOn w:val="Normal"/>
    <w:next w:val="Normal"/>
    <w:link w:val="QuoteChar"/>
    <w:semiHidden/>
    <w:unhideWhenUsed/>
    <w:rsid w:val="0060039B"/>
    <w:pPr>
      <w:suppressAutoHyphens/>
      <w:spacing w:after="240" w:line="260" w:lineRule="atLeast"/>
    </w:pPr>
    <w:rPr>
      <w:color w:val="000000"/>
      <w:sz w:val="18"/>
    </w:rPr>
  </w:style>
  <w:style w:type="character" w:customStyle="1" w:styleId="QuoteChar">
    <w:name w:val="Quote Char"/>
    <w:basedOn w:val="DefaultParagraphFont"/>
    <w:link w:val="Quote"/>
    <w:semiHidden/>
    <w:rsid w:val="0060039B"/>
    <w:rPr>
      <w:rFonts w:cs="Arial"/>
      <w:color w:val="000000"/>
      <w:sz w:val="18"/>
      <w:szCs w:val="20"/>
    </w:rPr>
  </w:style>
  <w:style w:type="paragraph" w:customStyle="1" w:styleId="R-Heading1">
    <w:name w:val="R-Heading 1"/>
    <w:basedOn w:val="Heading1"/>
    <w:next w:val="BodyText"/>
    <w:semiHidden/>
    <w:rsid w:val="0060039B"/>
    <w:pPr>
      <w:keepNext w:val="0"/>
      <w:framePr w:w="3341" w:hSpace="187" w:vSpace="187" w:wrap="auto" w:vAnchor="text" w:hAnchor="page" w:x="735" w:y="-71" w:anchorLock="1"/>
      <w:widowControl w:val="0"/>
      <w:pBdr>
        <w:top w:val="single" w:sz="36" w:space="0" w:color="000000"/>
      </w:pBdr>
      <w:spacing w:before="0"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60039B"/>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60039B"/>
    <w:pPr>
      <w:keepNext w:val="0"/>
      <w:framePr w:w="3341" w:hSpace="187" w:vSpace="187" w:wrap="auto" w:vAnchor="text" w:hAnchor="page" w:x="735" w:y="44" w:anchorLock="1"/>
      <w:widowControl w:val="0"/>
      <w:spacing w:before="0" w:after="0" w:line="260" w:lineRule="exact"/>
      <w:outlineLvl w:val="9"/>
    </w:pPr>
    <w:rPr>
      <w:rFonts w:cs="Arial"/>
      <w:bCs w:val="0"/>
      <w:color w:val="000000"/>
      <w:kern w:val="28"/>
      <w:szCs w:val="20"/>
    </w:rPr>
  </w:style>
  <w:style w:type="paragraph" w:customStyle="1" w:styleId="R-Heading4">
    <w:name w:val="R-Heading 4"/>
    <w:basedOn w:val="Heading4"/>
    <w:next w:val="BodyText"/>
    <w:semiHidden/>
    <w:rsid w:val="0060039B"/>
    <w:pPr>
      <w:spacing w:before="0" w:line="260" w:lineRule="atLeast"/>
      <w:outlineLvl w:val="9"/>
    </w:pPr>
    <w:rPr>
      <w:rFonts w:cs="Arial"/>
      <w:bCs w:val="0"/>
      <w:color w:val="000000"/>
      <w:szCs w:val="20"/>
    </w:rPr>
  </w:style>
  <w:style w:type="paragraph" w:customStyle="1" w:styleId="R-Heading5">
    <w:name w:val="R-Heading 5"/>
    <w:basedOn w:val="Heading5"/>
    <w:next w:val="BodyText"/>
    <w:semiHidden/>
    <w:rsid w:val="0060039B"/>
    <w:pPr>
      <w:spacing w:line="260" w:lineRule="atLeast"/>
      <w:outlineLvl w:val="9"/>
    </w:pPr>
    <w:rPr>
      <w:rFonts w:cs="Arial"/>
      <w:color w:val="000000"/>
    </w:rPr>
  </w:style>
  <w:style w:type="paragraph" w:customStyle="1" w:styleId="R-Heading6">
    <w:name w:val="R-Heading 6"/>
    <w:basedOn w:val="Heading6"/>
    <w:next w:val="BodyText"/>
    <w:semiHidden/>
    <w:rsid w:val="0060039B"/>
    <w:pPr>
      <w:spacing w:line="260" w:lineRule="atLeast"/>
      <w:outlineLvl w:val="9"/>
    </w:pPr>
    <w:rPr>
      <w:rFonts w:cs="Arial"/>
      <w:color w:val="000000"/>
    </w:rPr>
  </w:style>
  <w:style w:type="paragraph" w:customStyle="1" w:styleId="R-Heading7">
    <w:name w:val="R-Heading 7"/>
    <w:basedOn w:val="Heading7"/>
    <w:next w:val="BodyText"/>
    <w:semiHidden/>
    <w:rsid w:val="0060039B"/>
    <w:pPr>
      <w:spacing w:line="260" w:lineRule="atLeast"/>
      <w:outlineLvl w:val="9"/>
    </w:pPr>
    <w:rPr>
      <w:rFonts w:cs="Arial"/>
      <w:color w:val="000000"/>
    </w:rPr>
  </w:style>
  <w:style w:type="paragraph" w:customStyle="1" w:styleId="R-Heading8">
    <w:name w:val="R-Heading 8"/>
    <w:basedOn w:val="Heading8"/>
    <w:next w:val="BodyText"/>
    <w:semiHidden/>
    <w:rsid w:val="0060039B"/>
    <w:pPr>
      <w:spacing w:line="260" w:lineRule="atLeast"/>
      <w:outlineLvl w:val="9"/>
    </w:pPr>
    <w:rPr>
      <w:rFonts w:cs="Arial"/>
      <w:color w:val="000000"/>
    </w:rPr>
  </w:style>
  <w:style w:type="paragraph" w:customStyle="1" w:styleId="R-Heading9">
    <w:name w:val="R-Heading 9"/>
    <w:basedOn w:val="Heading9"/>
    <w:next w:val="BodyText"/>
    <w:semiHidden/>
    <w:rsid w:val="0060039B"/>
    <w:pPr>
      <w:spacing w:line="260" w:lineRule="atLeast"/>
      <w:outlineLvl w:val="9"/>
    </w:pPr>
    <w:rPr>
      <w:rFonts w:cs="Arial"/>
      <w:color w:val="000000"/>
    </w:rPr>
  </w:style>
  <w:style w:type="table" w:customStyle="1" w:styleId="LightShading1">
    <w:name w:val="Light Shading1"/>
    <w:basedOn w:val="TableNormal"/>
    <w:uiPriority w:val="60"/>
    <w:rsid w:val="0060039B"/>
    <w:pPr>
      <w:spacing w:after="0"/>
    </w:pPr>
    <w:rPr>
      <w:color w:val="033A6C" w:themeColor="text1" w:themeShade="BF"/>
    </w:rPr>
    <w:tblPr>
      <w:tblStyleRowBandSize w:val="1"/>
      <w:tblStyleColBandSize w:val="1"/>
      <w:tblInd w:w="0" w:type="dxa"/>
      <w:tblBorders>
        <w:top w:val="single" w:sz="8" w:space="0" w:color="044F91" w:themeColor="text1"/>
        <w:bottom w:val="single" w:sz="8" w:space="0" w:color="044F91"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la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C" w:themeFill="text1" w:themeFillTint="3F"/>
      </w:tcPr>
    </w:tblStylePr>
    <w:tblStylePr w:type="band1Horz">
      <w:tblPr/>
      <w:tcPr>
        <w:tcBorders>
          <w:left w:val="nil"/>
          <w:right w:val="nil"/>
          <w:insideH w:val="nil"/>
          <w:insideV w:val="nil"/>
        </w:tcBorders>
        <w:shd w:val="clear" w:color="auto" w:fill="A8D4FC" w:themeFill="text1" w:themeFillTint="3F"/>
      </w:tcPr>
    </w:tblStylePr>
  </w:style>
  <w:style w:type="table" w:customStyle="1" w:styleId="LightShading-Accent11">
    <w:name w:val="Light Shading - Accent 11"/>
    <w:basedOn w:val="TableNormal"/>
    <w:uiPriority w:val="60"/>
    <w:rsid w:val="0060039B"/>
    <w:pPr>
      <w:spacing w:after="0"/>
    </w:pPr>
    <w:rPr>
      <w:color w:val="3298FF" w:themeColor="accent1" w:themeShade="BF"/>
    </w:rPr>
    <w:tblPr>
      <w:tblStyleRowBandSize w:val="1"/>
      <w:tblStyleColBandSize w:val="1"/>
      <w:tblInd w:w="0" w:type="dxa"/>
      <w:tblBorders>
        <w:top w:val="single" w:sz="8" w:space="0" w:color="99CCFF" w:themeColor="accent1"/>
        <w:bottom w:val="single" w:sz="8" w:space="0" w:color="99CCF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Shading-Accent2">
    <w:name w:val="Light Shading Accent 2"/>
    <w:basedOn w:val="TableNormal"/>
    <w:uiPriority w:val="60"/>
    <w:rsid w:val="0060039B"/>
    <w:pPr>
      <w:spacing w:after="0"/>
    </w:pPr>
    <w:rPr>
      <w:rFonts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0039B"/>
    <w:pPr>
      <w:spacing w:after="0"/>
    </w:pPr>
    <w:rPr>
      <w:rFonts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breviations">
    <w:name w:val="Abbreviations"/>
    <w:basedOn w:val="Normal"/>
    <w:semiHidden/>
    <w:rsid w:val="0060039B"/>
    <w:pPr>
      <w:pBdr>
        <w:top w:val="single" w:sz="6" w:space="1" w:color="000000"/>
      </w:pBdr>
      <w:spacing w:line="260" w:lineRule="atLeast"/>
    </w:pPr>
    <w:rPr>
      <w:b/>
      <w:color w:val="000000"/>
    </w:rPr>
  </w:style>
  <w:style w:type="paragraph" w:customStyle="1" w:styleId="AgencyHeavyLine">
    <w:name w:val="AgencyHeavyLine"/>
    <w:basedOn w:val="Normal"/>
    <w:semiHidden/>
    <w:rsid w:val="0060039B"/>
    <w:pPr>
      <w:keepNext/>
      <w:pBdr>
        <w:top w:val="single" w:sz="48" w:space="1" w:color="000000"/>
      </w:pBdr>
      <w:ind w:right="14"/>
    </w:pPr>
    <w:rPr>
      <w:color w:val="000000"/>
      <w:sz w:val="12"/>
    </w:rPr>
  </w:style>
  <w:style w:type="paragraph" w:customStyle="1" w:styleId="AgencyBlank">
    <w:name w:val="AgencyBlank"/>
    <w:basedOn w:val="AgencyHeavyLine"/>
    <w:semiHidden/>
    <w:rsid w:val="0060039B"/>
    <w:pPr>
      <w:pBdr>
        <w:top w:val="none" w:sz="0" w:space="0" w:color="auto"/>
      </w:pBdr>
    </w:pPr>
  </w:style>
  <w:style w:type="paragraph" w:customStyle="1" w:styleId="BodyOrdering">
    <w:name w:val="Body Ordering"/>
    <w:basedOn w:val="Normal"/>
    <w:semiHidden/>
    <w:rsid w:val="0060039B"/>
    <w:pPr>
      <w:spacing w:after="160"/>
    </w:pPr>
    <w:rPr>
      <w:color w:val="000000"/>
    </w:rPr>
  </w:style>
  <w:style w:type="paragraph" w:customStyle="1" w:styleId="Body-singlespace">
    <w:name w:val="Body-single space"/>
    <w:basedOn w:val="Normal"/>
    <w:semiHidden/>
    <w:rsid w:val="0060039B"/>
    <w:pPr>
      <w:spacing w:line="260" w:lineRule="exact"/>
    </w:pPr>
    <w:rPr>
      <w:color w:val="000000"/>
    </w:rPr>
  </w:style>
  <w:style w:type="character" w:customStyle="1" w:styleId="Bold">
    <w:name w:val="Bold"/>
    <w:semiHidden/>
    <w:rsid w:val="0060039B"/>
    <w:rPr>
      <w:b/>
    </w:rPr>
  </w:style>
  <w:style w:type="character" w:customStyle="1" w:styleId="BoldItalic">
    <w:name w:val="BoldItalic"/>
    <w:semiHidden/>
    <w:rsid w:val="0060039B"/>
    <w:rPr>
      <w:b/>
      <w:i/>
    </w:rPr>
  </w:style>
  <w:style w:type="paragraph" w:customStyle="1" w:styleId="Bullet">
    <w:name w:val="Bullet"/>
    <w:basedOn w:val="Normal"/>
    <w:semiHidden/>
    <w:rsid w:val="0060039B"/>
    <w:pPr>
      <w:numPr>
        <w:numId w:val="17"/>
      </w:numPr>
    </w:pPr>
    <w:rPr>
      <w:color w:val="000000"/>
    </w:rPr>
  </w:style>
  <w:style w:type="paragraph" w:customStyle="1" w:styleId="Cell-AlignLeft">
    <w:name w:val="Cell - Align Left"/>
    <w:basedOn w:val="Normal"/>
    <w:uiPriority w:val="1"/>
    <w:rsid w:val="0060039B"/>
    <w:pPr>
      <w:keepLines/>
      <w:spacing w:before="20" w:after="60"/>
    </w:pPr>
    <w:rPr>
      <w:color w:val="000000"/>
      <w:sz w:val="18"/>
    </w:rPr>
  </w:style>
  <w:style w:type="paragraph" w:customStyle="1" w:styleId="Cell-AlignCenter">
    <w:name w:val="Cell - Align Center"/>
    <w:basedOn w:val="Cell-AlignLeft"/>
    <w:uiPriority w:val="1"/>
    <w:rsid w:val="0060039B"/>
    <w:pPr>
      <w:jc w:val="center"/>
    </w:pPr>
  </w:style>
  <w:style w:type="paragraph" w:customStyle="1" w:styleId="Cell-AlignRight">
    <w:name w:val="Cell - Align Right"/>
    <w:basedOn w:val="Cell-AlignLeft"/>
    <w:uiPriority w:val="1"/>
    <w:rsid w:val="0060039B"/>
    <w:pPr>
      <w:jc w:val="right"/>
    </w:pPr>
  </w:style>
  <w:style w:type="paragraph" w:customStyle="1" w:styleId="Cell-AlignRightBottom">
    <w:name w:val="Cell - Align Right Bottom"/>
    <w:basedOn w:val="Cell-AlignRight"/>
    <w:semiHidden/>
    <w:rsid w:val="0060039B"/>
  </w:style>
  <w:style w:type="paragraph" w:customStyle="1" w:styleId="Cell-Indent">
    <w:name w:val="Cell - Indent"/>
    <w:basedOn w:val="Cell-AlignLeft"/>
    <w:uiPriority w:val="1"/>
    <w:rsid w:val="0060039B"/>
    <w:pPr>
      <w:ind w:left="360"/>
    </w:pPr>
  </w:style>
  <w:style w:type="paragraph" w:customStyle="1" w:styleId="Cell-Indent2">
    <w:name w:val="Cell - Indent 2"/>
    <w:basedOn w:val="Cell-Indent"/>
    <w:uiPriority w:val="1"/>
    <w:rsid w:val="0060039B"/>
    <w:pPr>
      <w:ind w:left="720"/>
    </w:pPr>
  </w:style>
  <w:style w:type="paragraph" w:customStyle="1" w:styleId="Cell-List">
    <w:name w:val="Cell - List"/>
    <w:basedOn w:val="Cell-AlignLeft"/>
    <w:uiPriority w:val="1"/>
    <w:rsid w:val="0060039B"/>
    <w:pPr>
      <w:numPr>
        <w:numId w:val="18"/>
      </w:numPr>
    </w:pPr>
  </w:style>
  <w:style w:type="paragraph" w:customStyle="1" w:styleId="Cell-List2">
    <w:name w:val="Cell - List 2"/>
    <w:basedOn w:val="Cell-AlignLeft"/>
    <w:uiPriority w:val="1"/>
    <w:rsid w:val="0060039B"/>
    <w:pPr>
      <w:numPr>
        <w:numId w:val="19"/>
      </w:numPr>
    </w:pPr>
    <w:rPr>
      <w:szCs w:val="24"/>
    </w:rPr>
  </w:style>
  <w:style w:type="paragraph" w:customStyle="1" w:styleId="Cell-ListBullet">
    <w:name w:val="Cell - List Bullet"/>
    <w:basedOn w:val="Cell-AlignLeft"/>
    <w:uiPriority w:val="1"/>
    <w:rsid w:val="0060039B"/>
    <w:pPr>
      <w:numPr>
        <w:numId w:val="20"/>
      </w:numPr>
      <w:spacing w:before="0"/>
    </w:pPr>
  </w:style>
  <w:style w:type="paragraph" w:customStyle="1" w:styleId="Cell-ListBullet2">
    <w:name w:val="Cell - List Bullet 2"/>
    <w:basedOn w:val="Cell-AlignLeft"/>
    <w:uiPriority w:val="1"/>
    <w:rsid w:val="0060039B"/>
    <w:pPr>
      <w:numPr>
        <w:numId w:val="21"/>
      </w:numPr>
    </w:pPr>
    <w:rPr>
      <w:szCs w:val="24"/>
    </w:rPr>
  </w:style>
  <w:style w:type="paragraph" w:customStyle="1" w:styleId="CellHeading-Center">
    <w:name w:val="Cell Heading - Center"/>
    <w:basedOn w:val="Cell-AlignCenter"/>
    <w:uiPriority w:val="1"/>
    <w:rsid w:val="0060039B"/>
    <w:rPr>
      <w:b/>
    </w:rPr>
  </w:style>
  <w:style w:type="paragraph" w:customStyle="1" w:styleId="CellHeading-Left">
    <w:name w:val="Cell Heading - Left"/>
    <w:basedOn w:val="Cell-AlignLeft"/>
    <w:uiPriority w:val="1"/>
    <w:rsid w:val="0060039B"/>
    <w:rPr>
      <w:b/>
    </w:rPr>
  </w:style>
  <w:style w:type="paragraph" w:customStyle="1" w:styleId="CellHeading-Right">
    <w:name w:val="Cell Heading - Right"/>
    <w:basedOn w:val="Cell-AlignRight"/>
    <w:uiPriority w:val="1"/>
    <w:rsid w:val="0060039B"/>
    <w:rPr>
      <w:b/>
    </w:rPr>
  </w:style>
  <w:style w:type="paragraph" w:customStyle="1" w:styleId="CGLetterhead">
    <w:name w:val="CG Letterhead"/>
    <w:basedOn w:val="Normal"/>
    <w:uiPriority w:val="1"/>
    <w:semiHidden/>
    <w:rsid w:val="0060039B"/>
    <w:pPr>
      <w:framePr w:w="2074" w:hSpace="187" w:vSpace="187" w:wrap="auto" w:vAnchor="page" w:hAnchor="page" w:x="9447" w:y="1513"/>
      <w:spacing w:line="220" w:lineRule="exact"/>
      <w:jc w:val="right"/>
    </w:pPr>
    <w:rPr>
      <w:b/>
      <w:color w:val="000000"/>
      <w:sz w:val="20"/>
    </w:rPr>
  </w:style>
  <w:style w:type="paragraph" w:customStyle="1" w:styleId="CopyrightNotice">
    <w:name w:val="CopyrightNotice"/>
    <w:basedOn w:val="Normal"/>
    <w:uiPriority w:val="1"/>
    <w:semiHidden/>
    <w:rsid w:val="0060039B"/>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ecimalAligned">
    <w:name w:val="Decimal Aligned"/>
    <w:basedOn w:val="Normal"/>
    <w:uiPriority w:val="40"/>
    <w:semiHidden/>
    <w:rsid w:val="0060039B"/>
    <w:pPr>
      <w:tabs>
        <w:tab w:val="decimal" w:pos="360"/>
      </w:tabs>
      <w:spacing w:after="200" w:line="276" w:lineRule="auto"/>
    </w:pPr>
    <w:rPr>
      <w:rFonts w:ascii="Calibri" w:hAnsi="Calibri" w:cs="Times New Roman"/>
      <w:szCs w:val="22"/>
    </w:rPr>
  </w:style>
  <w:style w:type="paragraph" w:customStyle="1" w:styleId="DISCLAIMER-SINGLEPAGE">
    <w:name w:val="DISCLAIMER - SINGLE PAGE"/>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Header">
    <w:name w:val="DISCLAIMER - SINGLE PAGE Header"/>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Footer">
    <w:name w:val="DISCLAIMER - SINGLE PAGE Footer"/>
    <w:basedOn w:val="DISCLAIMER-SINGLEPAGEHeader"/>
    <w:uiPriority w:val="1"/>
    <w:semiHidden/>
    <w:rsid w:val="0060039B"/>
    <w:pPr>
      <w:framePr w:wrap="around" w:x="189" w:y="14761"/>
    </w:pPr>
  </w:style>
  <w:style w:type="paragraph" w:customStyle="1" w:styleId="DISCLAIMER-BOTTOM">
    <w:name w:val="DISCLAIMER-BOTTOM"/>
    <w:basedOn w:val="Footer"/>
    <w:uiPriority w:val="1"/>
    <w:semiHidden/>
    <w:rsid w:val="0060039B"/>
    <w:pPr>
      <w:tabs>
        <w:tab w:val="right" w:pos="7200"/>
      </w:tabs>
      <w:ind w:left="-4320" w:right="-720"/>
      <w:jc w:val="center"/>
    </w:pPr>
    <w:rPr>
      <w:rFonts w:ascii="ITCCentury Book" w:hAnsi="ITCCentury Book"/>
      <w:b/>
      <w:caps/>
      <w:color w:val="000000"/>
      <w:sz w:val="28"/>
    </w:rPr>
  </w:style>
  <w:style w:type="paragraph" w:customStyle="1" w:styleId="Disclaimer-Bottom-Agency">
    <w:name w:val="Disclaimer-Bottom-Agency"/>
    <w:basedOn w:val="DISCLAIMER-BOTTOM"/>
    <w:uiPriority w:val="1"/>
    <w:semiHidden/>
    <w:rsid w:val="0060039B"/>
    <w:pPr>
      <w:ind w:left="-3240"/>
    </w:pPr>
  </w:style>
  <w:style w:type="paragraph" w:customStyle="1" w:styleId="DISCLAIMER-COVER">
    <w:name w:val="DISCLAIMER-COVER"/>
    <w:basedOn w:val="Normal"/>
    <w:uiPriority w:val="1"/>
    <w:semiHidden/>
    <w:rsid w:val="0060039B"/>
    <w:pPr>
      <w:framePr w:w="7200" w:h="360" w:hRule="exact" w:hSpace="187" w:wrap="around" w:vAnchor="page" w:hAnchor="page" w:x="4321" w:y="15121"/>
      <w:shd w:val="solid" w:color="FFFFFF" w:fill="FFFFFF"/>
      <w:tabs>
        <w:tab w:val="center" w:pos="1800"/>
      </w:tabs>
      <w:spacing w:line="260" w:lineRule="atLeast"/>
    </w:pPr>
    <w:rPr>
      <w:rFonts w:ascii="ITCCentury Book" w:hAnsi="ITCCentury Book"/>
      <w:b/>
      <w:caps/>
      <w:color w:val="000000"/>
      <w:sz w:val="28"/>
      <w:szCs w:val="28"/>
    </w:rPr>
  </w:style>
  <w:style w:type="paragraph" w:customStyle="1" w:styleId="DISCLAIMER-COVERTOP">
    <w:name w:val="DISCLAIMER-COVERTOP"/>
    <w:basedOn w:val="Normal"/>
    <w:uiPriority w:val="1"/>
    <w:semiHidden/>
    <w:rsid w:val="0060039B"/>
    <w:pPr>
      <w:framePr w:w="12240" w:h="360" w:hRule="exact" w:hSpace="187" w:wrap="around" w:vAnchor="page" w:hAnchor="page" w:x="1" w:y="217"/>
      <w:shd w:val="solid" w:color="FFFFFF" w:fill="FFFFFF"/>
      <w:spacing w:line="260" w:lineRule="atLeast"/>
      <w:jc w:val="center"/>
    </w:pPr>
    <w:rPr>
      <w:rFonts w:ascii="ITCCentury Book" w:hAnsi="ITCCentury Book"/>
      <w:b/>
      <w:noProof/>
      <w:color w:val="000000"/>
      <w:sz w:val="28"/>
      <w:szCs w:val="28"/>
    </w:rPr>
  </w:style>
  <w:style w:type="paragraph" w:customStyle="1" w:styleId="Disclaimer-SSI">
    <w:name w:val="Disclaimer-SSI"/>
    <w:basedOn w:val="Footer"/>
    <w:uiPriority w:val="1"/>
    <w:semiHidden/>
    <w:rsid w:val="0060039B"/>
    <w:pPr>
      <w:tabs>
        <w:tab w:val="right" w:pos="7110"/>
      </w:tabs>
    </w:pPr>
    <w:rPr>
      <w:color w:val="000000"/>
      <w:sz w:val="16"/>
    </w:rPr>
  </w:style>
  <w:style w:type="paragraph" w:customStyle="1" w:styleId="DISCLAIMER-TOP">
    <w:name w:val="DISCLAIMER-TOP"/>
    <w:basedOn w:val="DISCLAIMER-BOTTOM"/>
    <w:uiPriority w:val="1"/>
    <w:semiHidden/>
    <w:rsid w:val="0060039B"/>
    <w:pPr>
      <w:framePr w:w="12240" w:h="432" w:wrap="notBeside" w:vAnchor="page" w:hAnchor="page" w:x="1" w:y="361" w:anchorLock="1"/>
      <w:ind w:left="0" w:right="0"/>
      <w:suppressOverlap/>
    </w:pPr>
  </w:style>
  <w:style w:type="paragraph" w:customStyle="1" w:styleId="UnitedStatesGeneralAccountingOffice">
    <w:name w:val="United States General Accounting Office"/>
    <w:semiHidden/>
    <w:rsid w:val="0060039B"/>
    <w:pPr>
      <w:spacing w:before="60" w:after="0"/>
      <w:contextualSpacing/>
    </w:pPr>
    <w:rPr>
      <w:rFonts w:cs="Arial"/>
      <w:b/>
      <w:noProof/>
      <w:sz w:val="20"/>
      <w:szCs w:val="20"/>
    </w:rPr>
  </w:style>
  <w:style w:type="paragraph" w:customStyle="1" w:styleId="DivisionName">
    <w:name w:val="Division Name"/>
    <w:basedOn w:val="UnitedStatesGeneralAccountingOffice"/>
    <w:semiHidden/>
    <w:rsid w:val="0060039B"/>
    <w:pPr>
      <w:jc w:val="right"/>
    </w:pPr>
    <w:rPr>
      <w:noProof w:val="0"/>
    </w:rPr>
  </w:style>
  <w:style w:type="paragraph" w:customStyle="1" w:styleId="DRAFT">
    <w:name w:val="DRAFT"/>
    <w:basedOn w:val="Normal"/>
    <w:uiPriority w:val="1"/>
    <w:semiHidden/>
    <w:rsid w:val="0060039B"/>
    <w:rPr>
      <w:caps/>
      <w:color w:val="808080"/>
      <w:sz w:val="16"/>
      <w:szCs w:val="22"/>
    </w:rPr>
  </w:style>
  <w:style w:type="paragraph" w:customStyle="1" w:styleId="Draft-Cover">
    <w:name w:val="Draft-Cover"/>
    <w:basedOn w:val="DRAFT"/>
    <w:uiPriority w:val="1"/>
    <w:semiHidden/>
    <w:rsid w:val="0060039B"/>
    <w:rPr>
      <w:caps w:val="0"/>
      <w:sz w:val="20"/>
      <w:szCs w:val="20"/>
    </w:rPr>
  </w:style>
  <w:style w:type="paragraph" w:customStyle="1" w:styleId="Equation">
    <w:name w:val="Equation"/>
    <w:basedOn w:val="Normal"/>
    <w:uiPriority w:val="1"/>
    <w:semiHidden/>
    <w:rsid w:val="0060039B"/>
    <w:rPr>
      <w:color w:val="000000"/>
    </w:rPr>
  </w:style>
  <w:style w:type="paragraph" w:customStyle="1" w:styleId="FigureTable-TitleFull">
    <w:name w:val="Figure/Table - Title Full"/>
    <w:basedOn w:val="Normal"/>
    <w:next w:val="BodyText"/>
    <w:uiPriority w:val="1"/>
    <w:rsid w:val="0060039B"/>
    <w:pPr>
      <w:keepNext/>
      <w:keepLines/>
      <w:widowControl w:val="0"/>
      <w:pBdr>
        <w:top w:val="single" w:sz="48" w:space="1" w:color="000000"/>
      </w:pBdr>
      <w:spacing w:after="160" w:line="200" w:lineRule="exact"/>
    </w:pPr>
    <w:rPr>
      <w:b/>
      <w:color w:val="000000"/>
      <w:sz w:val="18"/>
    </w:rPr>
  </w:style>
  <w:style w:type="paragraph" w:customStyle="1" w:styleId="FigureTableSource">
    <w:name w:val="Figure/Table Source"/>
    <w:basedOn w:val="TableCellLeft"/>
    <w:next w:val="BodyText"/>
    <w:rsid w:val="0060039B"/>
    <w:pPr>
      <w:spacing w:before="60" w:line="140" w:lineRule="exact"/>
    </w:pPr>
    <w:rPr>
      <w:sz w:val="14"/>
      <w:szCs w:val="14"/>
    </w:rPr>
  </w:style>
  <w:style w:type="paragraph" w:customStyle="1" w:styleId="FigureTableNote">
    <w:name w:val="Figure/Table Note"/>
    <w:basedOn w:val="FigureTableSource"/>
    <w:next w:val="BodyText"/>
    <w:rsid w:val="0060039B"/>
    <w:pPr>
      <w:spacing w:before="80" w:line="180" w:lineRule="exact"/>
    </w:pPr>
    <w:rPr>
      <w:sz w:val="18"/>
      <w:szCs w:val="18"/>
    </w:rPr>
  </w:style>
  <w:style w:type="paragraph" w:customStyle="1" w:styleId="Table">
    <w:name w:val="Table"/>
    <w:semiHidden/>
    <w:rsid w:val="0060039B"/>
    <w:pPr>
      <w:spacing w:after="0"/>
    </w:pPr>
    <w:rPr>
      <w:rFonts w:cs="Arial"/>
      <w:color w:val="000000"/>
      <w:szCs w:val="20"/>
    </w:rPr>
  </w:style>
  <w:style w:type="paragraph" w:customStyle="1" w:styleId="FinancialHeading">
    <w:name w:val="Financial Heading"/>
    <w:basedOn w:val="Table"/>
    <w:uiPriority w:val="1"/>
    <w:semiHidden/>
    <w:rsid w:val="0060039B"/>
    <w:pPr>
      <w:pBdr>
        <w:top w:val="single" w:sz="4" w:space="1" w:color="auto"/>
      </w:pBdr>
      <w:spacing w:line="240" w:lineRule="exact"/>
      <w:ind w:left="-3600"/>
    </w:pPr>
    <w:rPr>
      <w:b/>
    </w:rPr>
  </w:style>
  <w:style w:type="paragraph" w:customStyle="1" w:styleId="FooterAgency">
    <w:name w:val="FooterAgency"/>
    <w:basedOn w:val="Footer"/>
    <w:uiPriority w:val="1"/>
    <w:semiHidden/>
    <w:rsid w:val="0060039B"/>
    <w:pPr>
      <w:tabs>
        <w:tab w:val="right" w:pos="8280"/>
      </w:tabs>
      <w:ind w:left="1080"/>
    </w:pPr>
    <w:rPr>
      <w:b/>
      <w:color w:val="000000"/>
      <w:sz w:val="16"/>
    </w:rPr>
  </w:style>
  <w:style w:type="character" w:customStyle="1" w:styleId="FootnoteItalic">
    <w:name w:val="Footnote Italic"/>
    <w:uiPriority w:val="1"/>
    <w:semiHidden/>
    <w:rsid w:val="0060039B"/>
    <w:rPr>
      <w:i/>
    </w:rPr>
  </w:style>
  <w:style w:type="paragraph" w:customStyle="1" w:styleId="ITC36Caps">
    <w:name w:val="ITC36Caps"/>
    <w:basedOn w:val="Normal"/>
    <w:semiHidden/>
    <w:rsid w:val="0060039B"/>
    <w:pPr>
      <w:framePr w:w="7200" w:h="9073" w:hSpace="180" w:wrap="auto" w:vAnchor="page" w:hAnchor="margin" w:x="1" w:y="3265"/>
      <w:spacing w:after="1200" w:line="720" w:lineRule="exact"/>
    </w:pPr>
    <w:rPr>
      <w:rFonts w:ascii="ITCCentury Book" w:hAnsi="ITCCentury Book"/>
      <w:caps/>
      <w:color w:val="000000"/>
      <w:spacing w:val="13"/>
      <w:sz w:val="72"/>
    </w:rPr>
  </w:style>
  <w:style w:type="paragraph" w:customStyle="1" w:styleId="ITC36">
    <w:name w:val="ITC36"/>
    <w:basedOn w:val="ITC36Caps"/>
    <w:semiHidden/>
    <w:rsid w:val="0060039B"/>
    <w:pPr>
      <w:framePr w:wrap="auto"/>
      <w:tabs>
        <w:tab w:val="left" w:pos="4500"/>
      </w:tabs>
      <w:spacing w:after="0"/>
    </w:pPr>
    <w:rPr>
      <w:caps w:val="0"/>
    </w:rPr>
  </w:style>
  <w:style w:type="paragraph" w:customStyle="1" w:styleId="GAO">
    <w:name w:val="GAO"/>
    <w:basedOn w:val="ITC36"/>
    <w:uiPriority w:val="1"/>
    <w:semiHidden/>
    <w:rsid w:val="0060039B"/>
    <w:pPr>
      <w:framePr w:w="1664" w:h="691" w:hRule="exact" w:hSpace="0" w:wrap="auto" w:vAnchor="margin" w:hAnchor="page" w:x="721" w:y="894"/>
      <w:tabs>
        <w:tab w:val="clear" w:pos="4500"/>
      </w:tabs>
    </w:pPr>
    <w:rPr>
      <w:spacing w:val="-60"/>
    </w:rPr>
  </w:style>
  <w:style w:type="paragraph" w:customStyle="1" w:styleId="GAOB-Number">
    <w:name w:val="GAO B - Number"/>
    <w:basedOn w:val="Normal"/>
    <w:next w:val="BodyText"/>
    <w:uiPriority w:val="1"/>
    <w:semiHidden/>
    <w:rsid w:val="0060039B"/>
    <w:pPr>
      <w:spacing w:line="260" w:lineRule="atLeast"/>
    </w:pPr>
    <w:rPr>
      <w:color w:val="000000"/>
    </w:rPr>
  </w:style>
  <w:style w:type="paragraph" w:customStyle="1" w:styleId="GAODivision">
    <w:name w:val="GAO Division"/>
    <w:basedOn w:val="Normal"/>
    <w:uiPriority w:val="1"/>
    <w:semiHidden/>
    <w:rsid w:val="0060039B"/>
    <w:pPr>
      <w:framePr w:w="3038" w:hSpace="187" w:vSpace="187" w:wrap="auto" w:vAnchor="page" w:hAnchor="page" w:x="8526" w:y="2060"/>
      <w:tabs>
        <w:tab w:val="num" w:pos="360"/>
      </w:tabs>
      <w:spacing w:line="220" w:lineRule="exact"/>
      <w:ind w:left="360" w:hanging="360"/>
      <w:jc w:val="right"/>
    </w:pPr>
    <w:rPr>
      <w:b/>
      <w:color w:val="000000"/>
      <w:sz w:val="20"/>
    </w:rPr>
  </w:style>
  <w:style w:type="paragraph" w:customStyle="1" w:styleId="GAOFinancial">
    <w:name w:val="GAO Financial"/>
    <w:basedOn w:val="Table"/>
    <w:uiPriority w:val="1"/>
    <w:semiHidden/>
    <w:rsid w:val="0060039B"/>
    <w:pPr>
      <w:ind w:left="-3600"/>
    </w:pPr>
  </w:style>
  <w:style w:type="paragraph" w:customStyle="1" w:styleId="GAOJobCode">
    <w:name w:val="GAO Job Code"/>
    <w:uiPriority w:val="1"/>
    <w:semiHidden/>
    <w:rsid w:val="0060039B"/>
    <w:pPr>
      <w:framePr w:wrap="around" w:vAnchor="page" w:hAnchor="page" w:x="735" w:y="14905"/>
      <w:spacing w:after="0"/>
    </w:pPr>
    <w:rPr>
      <w:rFonts w:cs="Arial"/>
      <w:b/>
      <w:color w:val="000000"/>
      <w:kern w:val="28"/>
      <w:sz w:val="14"/>
      <w:szCs w:val="20"/>
    </w:rPr>
  </w:style>
  <w:style w:type="paragraph" w:customStyle="1" w:styleId="GAO-Letter">
    <w:name w:val="GAO-Letter"/>
    <w:basedOn w:val="Title"/>
    <w:uiPriority w:val="1"/>
    <w:semiHidden/>
    <w:rsid w:val="0060039B"/>
    <w:pPr>
      <w:framePr w:w="10800" w:h="1440" w:hSpace="180" w:vSpace="180" w:wrap="auto" w:vAnchor="page" w:hAnchor="page" w:x="721" w:y="793"/>
      <w:shd w:val="clear" w:color="auto" w:fill="FFFFFF"/>
      <w:spacing w:before="60" w:after="0" w:line="580" w:lineRule="exact"/>
      <w:outlineLvl w:val="9"/>
    </w:pPr>
    <w:rPr>
      <w:rFonts w:cs="Arial"/>
      <w:bCs w:val="0"/>
      <w:color w:val="000000"/>
      <w:sz w:val="54"/>
      <w:szCs w:val="20"/>
    </w:rPr>
  </w:style>
  <w:style w:type="paragraph" w:customStyle="1" w:styleId="H-BodyText">
    <w:name w:val="H-Body Text"/>
    <w:uiPriority w:val="1"/>
    <w:semiHidden/>
    <w:rsid w:val="0060039B"/>
    <w:pPr>
      <w:spacing w:after="120"/>
    </w:pPr>
    <w:rPr>
      <w:rFonts w:cs="Arial"/>
      <w:color w:val="000000"/>
      <w:sz w:val="21"/>
    </w:rPr>
  </w:style>
  <w:style w:type="paragraph" w:customStyle="1" w:styleId="HeaderAgency">
    <w:name w:val="HeaderAgency"/>
    <w:basedOn w:val="Header"/>
    <w:uiPriority w:val="1"/>
    <w:semiHidden/>
    <w:rsid w:val="0060039B"/>
  </w:style>
  <w:style w:type="paragraph" w:customStyle="1" w:styleId="Heading1-NotinTOC">
    <w:name w:val="Heading 1 - Not in TOC"/>
    <w:basedOn w:val="Heading1"/>
    <w:semiHidden/>
    <w:rsid w:val="0060039B"/>
    <w:pPr>
      <w:keepNext w:val="0"/>
      <w:framePr w:w="3341" w:hSpace="187" w:vSpace="187" w:wrap="auto" w:vAnchor="text" w:hAnchor="page" w:x="735" w:y="-71" w:anchorLock="1"/>
      <w:widowControl w:val="0"/>
      <w:pBdr>
        <w:top w:val="single" w:sz="36" w:space="0" w:color="000000"/>
      </w:pBdr>
      <w:tabs>
        <w:tab w:val="right" w:pos="10920"/>
      </w:tabs>
      <w:spacing w:before="0" w:after="0" w:line="360" w:lineRule="atLeast"/>
      <w:outlineLvl w:val="9"/>
    </w:pPr>
    <w:rPr>
      <w:rFonts w:cs="Arial"/>
      <w:b w:val="0"/>
      <w:bCs w:val="0"/>
      <w:color w:val="000000"/>
      <w:kern w:val="28"/>
      <w:sz w:val="34"/>
      <w:szCs w:val="20"/>
    </w:rPr>
  </w:style>
  <w:style w:type="paragraph" w:customStyle="1" w:styleId="Heading1-TopofPage">
    <w:name w:val="Heading 1 - Top of Page"/>
    <w:basedOn w:val="Heading2"/>
    <w:semiHidden/>
    <w:rsid w:val="0060039B"/>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Headnote">
    <w:name w:val="Headnote"/>
    <w:basedOn w:val="Cell-AlignLeft"/>
    <w:semiHidden/>
    <w:rsid w:val="0060039B"/>
    <w:pPr>
      <w:pBdr>
        <w:top w:val="single" w:sz="8" w:space="1" w:color="auto"/>
      </w:pBdr>
      <w:spacing w:after="80"/>
    </w:pPr>
  </w:style>
  <w:style w:type="character" w:customStyle="1" w:styleId="Hypertext">
    <w:name w:val="Hypertext"/>
    <w:basedOn w:val="Hyperlink"/>
    <w:semiHidden/>
    <w:rsid w:val="0060039B"/>
  </w:style>
  <w:style w:type="character" w:customStyle="1" w:styleId="Italic">
    <w:name w:val="Italic"/>
    <w:semiHidden/>
    <w:rsid w:val="0060039B"/>
    <w:rPr>
      <w:i/>
    </w:rPr>
  </w:style>
  <w:style w:type="paragraph" w:customStyle="1" w:styleId="ITC12">
    <w:name w:val="ITC12"/>
    <w:basedOn w:val="Normal"/>
    <w:semiHidden/>
    <w:rsid w:val="0060039B"/>
    <w:pPr>
      <w:framePr w:w="2880" w:h="1238" w:hRule="exact" w:hSpace="187" w:vSpace="187" w:wrap="auto" w:vAnchor="page" w:hAnchor="page" w:x="606" w:y="3227"/>
      <w:shd w:val="solid" w:color="FFFFFF" w:fill="FFFFFF"/>
    </w:pPr>
    <w:rPr>
      <w:rFonts w:ascii="ITCCentury Book" w:hAnsi="ITCCentury Book"/>
      <w:b/>
      <w:color w:val="000000"/>
    </w:rPr>
  </w:style>
  <w:style w:type="paragraph" w:customStyle="1" w:styleId="ITC14">
    <w:name w:val="ITC14"/>
    <w:basedOn w:val="Normal"/>
    <w:semiHidden/>
    <w:rsid w:val="0060039B"/>
    <w:rPr>
      <w:rFonts w:ascii="ITCCentury Book" w:hAnsi="ITCCentury Book"/>
      <w:color w:val="000000"/>
      <w:sz w:val="28"/>
    </w:rPr>
  </w:style>
  <w:style w:type="paragraph" w:customStyle="1" w:styleId="ITC20">
    <w:name w:val="ITC20"/>
    <w:basedOn w:val="Normal"/>
    <w:semiHidden/>
    <w:rsid w:val="0060039B"/>
    <w:pPr>
      <w:framePr w:w="7200" w:hSpace="187" w:vSpace="187" w:wrap="auto" w:vAnchor="page" w:hAnchor="page" w:x="4321" w:y="966"/>
      <w:spacing w:line="420" w:lineRule="exact"/>
    </w:pPr>
    <w:rPr>
      <w:rFonts w:ascii="ITCCentury Book" w:hAnsi="ITCCentury Book"/>
      <w:color w:val="000000"/>
      <w:spacing w:val="13"/>
      <w:sz w:val="40"/>
    </w:rPr>
  </w:style>
  <w:style w:type="paragraph" w:customStyle="1" w:styleId="Letter">
    <w:name w:val="Letter"/>
    <w:basedOn w:val="Normal"/>
    <w:semiHidden/>
    <w:unhideWhenUsed/>
    <w:rsid w:val="0060039B"/>
  </w:style>
  <w:style w:type="table" w:customStyle="1" w:styleId="LightShading-Accent110">
    <w:name w:val="Light Shading - Accent 11"/>
    <w:basedOn w:val="TableNormal"/>
    <w:uiPriority w:val="60"/>
    <w:rsid w:val="0060039B"/>
    <w:pPr>
      <w:spacing w:after="0"/>
    </w:pPr>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0">
    <w:name w:val="Light Shading1"/>
    <w:basedOn w:val="TableNormal"/>
    <w:uiPriority w:val="60"/>
    <w:rsid w:val="0060039B"/>
    <w:pPr>
      <w:spacing w:after="0"/>
    </w:pPr>
    <w:rPr>
      <w:rFonts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BulletLong">
    <w:name w:val="List Bullet Long"/>
    <w:basedOn w:val="ListBullet"/>
    <w:semiHidden/>
    <w:rsid w:val="0060039B"/>
    <w:pPr>
      <w:numPr>
        <w:numId w:val="22"/>
      </w:numPr>
    </w:pPr>
  </w:style>
  <w:style w:type="paragraph" w:customStyle="1" w:styleId="ListBulletQuote">
    <w:name w:val="List Bullet Quote"/>
    <w:basedOn w:val="Quote"/>
    <w:semiHidden/>
    <w:rsid w:val="0060039B"/>
    <w:pPr>
      <w:numPr>
        <w:numId w:val="23"/>
      </w:numPr>
      <w:spacing w:after="120" w:line="240" w:lineRule="auto"/>
    </w:pPr>
  </w:style>
  <w:style w:type="paragraph" w:customStyle="1" w:styleId="ListBulleted">
    <w:name w:val="List Bulleted"/>
    <w:basedOn w:val="Normal"/>
    <w:semiHidden/>
    <w:rsid w:val="0060039B"/>
    <w:pPr>
      <w:numPr>
        <w:numId w:val="24"/>
      </w:numPr>
      <w:spacing w:line="260" w:lineRule="atLeast"/>
    </w:pPr>
    <w:rPr>
      <w:color w:val="000000"/>
    </w:rPr>
  </w:style>
  <w:style w:type="paragraph" w:customStyle="1" w:styleId="ListNumbered">
    <w:name w:val="List Numbered"/>
    <w:basedOn w:val="List"/>
    <w:semiHidden/>
    <w:rsid w:val="0060039B"/>
    <w:pPr>
      <w:numPr>
        <w:numId w:val="25"/>
      </w:numPr>
    </w:pPr>
    <w:rPr>
      <w:color w:val="000000"/>
    </w:rPr>
  </w:style>
  <w:style w:type="paragraph" w:customStyle="1" w:styleId="ListNumbered2">
    <w:name w:val="List Numbered 2"/>
    <w:basedOn w:val="List"/>
    <w:semiHidden/>
    <w:rsid w:val="0060039B"/>
    <w:pPr>
      <w:numPr>
        <w:numId w:val="26"/>
      </w:numPr>
      <w:spacing w:after="120"/>
      <w:contextualSpacing/>
    </w:pPr>
    <w:rPr>
      <w:color w:val="000000"/>
    </w:rPr>
  </w:style>
  <w:style w:type="paragraph" w:customStyle="1" w:styleId="ListNumbered3">
    <w:name w:val="List Numbered 3"/>
    <w:basedOn w:val="List"/>
    <w:semiHidden/>
    <w:rsid w:val="0060039B"/>
    <w:pPr>
      <w:numPr>
        <w:numId w:val="27"/>
      </w:numPr>
      <w:spacing w:after="120"/>
      <w:contextualSpacing/>
    </w:pPr>
    <w:rPr>
      <w:color w:val="000000"/>
    </w:rPr>
  </w:style>
  <w:style w:type="paragraph" w:customStyle="1" w:styleId="ListNumbered4">
    <w:name w:val="List Numbered 4"/>
    <w:basedOn w:val="List"/>
    <w:semiHidden/>
    <w:rsid w:val="0060039B"/>
    <w:pPr>
      <w:numPr>
        <w:numId w:val="28"/>
      </w:numPr>
      <w:spacing w:after="120"/>
      <w:contextualSpacing/>
    </w:pPr>
    <w:rPr>
      <w:color w:val="000000"/>
    </w:rPr>
  </w:style>
  <w:style w:type="paragraph" w:customStyle="1" w:styleId="ListNumbered5">
    <w:name w:val="List Numbered 5"/>
    <w:basedOn w:val="List"/>
    <w:semiHidden/>
    <w:rsid w:val="0060039B"/>
    <w:pPr>
      <w:numPr>
        <w:numId w:val="29"/>
      </w:numPr>
      <w:spacing w:after="120"/>
      <w:contextualSpacing/>
    </w:pPr>
    <w:rPr>
      <w:color w:val="000000"/>
    </w:rPr>
  </w:style>
  <w:style w:type="paragraph" w:customStyle="1" w:styleId="MAINTITLE">
    <w:name w:val="MAIN TITLE"/>
    <w:semiHidden/>
    <w:rsid w:val="0060039B"/>
    <w:pPr>
      <w:spacing w:after="1200" w:line="720" w:lineRule="exact"/>
    </w:pPr>
    <w:rPr>
      <w:rFonts w:ascii="ITCCentury Book" w:hAnsi="ITCCentury Book" w:cs="Times New Roman"/>
      <w:caps/>
      <w:spacing w:val="-20"/>
      <w:sz w:val="72"/>
      <w:szCs w:val="20"/>
    </w:rPr>
  </w:style>
  <w:style w:type="paragraph" w:customStyle="1" w:styleId="NoteCaption">
    <w:name w:val="Note/Caption"/>
    <w:basedOn w:val="Table"/>
    <w:semiHidden/>
    <w:rsid w:val="0060039B"/>
    <w:pPr>
      <w:keepLines/>
      <w:spacing w:before="80" w:after="240" w:line="180" w:lineRule="exact"/>
      <w:contextualSpacing/>
    </w:pPr>
    <w:rPr>
      <w:sz w:val="16"/>
    </w:rPr>
  </w:style>
  <w:style w:type="paragraph" w:customStyle="1" w:styleId="Notice">
    <w:name w:val="Notice"/>
    <w:basedOn w:val="Normal"/>
    <w:semiHidden/>
    <w:rsid w:val="0060039B"/>
    <w:pPr>
      <w:framePr w:w="3312" w:hSpace="187" w:vSpace="187" w:wrap="auto" w:vAnchor="page" w:hAnchor="page" w:x="721" w:y="10081"/>
      <w:spacing w:line="400" w:lineRule="exact"/>
    </w:pPr>
    <w:rPr>
      <w:rFonts w:ascii="ITCCentury Book" w:hAnsi="ITCCentury Book"/>
      <w:color w:val="FF0000"/>
      <w:sz w:val="36"/>
    </w:rPr>
  </w:style>
  <w:style w:type="paragraph" w:customStyle="1" w:styleId="OrderingInfo">
    <w:name w:val="Ordering Info"/>
    <w:basedOn w:val="Normal"/>
    <w:semiHidden/>
    <w:rsid w:val="0060039B"/>
    <w:pPr>
      <w:spacing w:after="240" w:line="260" w:lineRule="atLeast"/>
    </w:pPr>
    <w:rPr>
      <w:color w:val="000000"/>
    </w:rPr>
  </w:style>
  <w:style w:type="paragraph" w:customStyle="1" w:styleId="Preformatted">
    <w:name w:val="Preformatted"/>
    <w:basedOn w:val="Normal"/>
    <w:semiHidden/>
    <w:rsid w:val="0060039B"/>
    <w:pPr>
      <w:autoSpaceDE w:val="0"/>
      <w:autoSpaceDN w:val="0"/>
      <w:adjustRightInd w:val="0"/>
      <w:spacing w:before="440" w:after="120" w:line="220" w:lineRule="atLeast"/>
    </w:pPr>
    <w:rPr>
      <w:rFonts w:cs="Courier New"/>
      <w:color w:val="000000"/>
      <w:sz w:val="18"/>
    </w:rPr>
  </w:style>
  <w:style w:type="paragraph" w:customStyle="1" w:styleId="QRText">
    <w:name w:val="QR Text"/>
    <w:basedOn w:val="Normal"/>
    <w:semiHidden/>
    <w:rsid w:val="0060039B"/>
    <w:pPr>
      <w:framePr w:w="2347" w:h="691" w:hRule="exact" w:wrap="around" w:vAnchor="page" w:hAnchor="page" w:x="735" w:y="11665"/>
    </w:pPr>
    <w:rPr>
      <w:b/>
      <w:color w:val="000000"/>
      <w:sz w:val="20"/>
      <w:szCs w:val="16"/>
    </w:rPr>
  </w:style>
  <w:style w:type="paragraph" w:customStyle="1" w:styleId="QRText2">
    <w:name w:val="QR Text2"/>
    <w:basedOn w:val="QRText"/>
    <w:semiHidden/>
    <w:rsid w:val="0060039B"/>
    <w:pPr>
      <w:framePr w:wrap="around" w:y="12385"/>
    </w:pPr>
    <w:rPr>
      <w:color w:val="595959"/>
    </w:rPr>
  </w:style>
  <w:style w:type="paragraph" w:customStyle="1" w:styleId="R-CommentText">
    <w:name w:val="R-CommentText"/>
    <w:basedOn w:val="CommentText"/>
    <w:semiHidden/>
    <w:rsid w:val="0060039B"/>
    <w:pPr>
      <w:framePr w:w="2304" w:hSpace="187" w:vSpace="187" w:wrap="auto" w:vAnchor="page" w:hAnchor="page" w:x="721" w:y="3198" w:anchorLock="1"/>
      <w:widowControl w:val="0"/>
      <w:outlineLvl w:val="2"/>
    </w:pPr>
    <w:rPr>
      <w:rFonts w:cs="Times New Roman"/>
      <w:color w:val="000000"/>
      <w:kern w:val="28"/>
    </w:rPr>
  </w:style>
  <w:style w:type="paragraph" w:customStyle="1" w:styleId="RegAddress">
    <w:name w:val="RegAddress"/>
    <w:basedOn w:val="Normal"/>
    <w:semiHidden/>
    <w:rsid w:val="0060039B"/>
    <w:pPr>
      <w:spacing w:line="200" w:lineRule="exact"/>
    </w:pPr>
    <w:rPr>
      <w:b/>
      <w:sz w:val="18"/>
    </w:rPr>
  </w:style>
  <w:style w:type="paragraph" w:customStyle="1" w:styleId="ReportNumber">
    <w:name w:val="Report Number"/>
    <w:basedOn w:val="Normal"/>
    <w:semiHidden/>
    <w:rsid w:val="0060039B"/>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60039B"/>
    <w:pPr>
      <w:spacing w:line="260" w:lineRule="atLeast"/>
    </w:pPr>
    <w:rPr>
      <w:color w:val="000000"/>
    </w:rPr>
  </w:style>
  <w:style w:type="paragraph" w:customStyle="1" w:styleId="ShortTitle">
    <w:name w:val="Short Title"/>
    <w:basedOn w:val="Footer"/>
    <w:semiHidden/>
    <w:rsid w:val="0060039B"/>
    <w:pPr>
      <w:framePr w:w="7200" w:h="9073" w:hSpace="180" w:wrap="auto" w:vAnchor="page" w:hAnchor="margin" w:x="1" w:y="3265"/>
      <w:tabs>
        <w:tab w:val="right" w:pos="7200"/>
      </w:tabs>
    </w:pPr>
    <w:rPr>
      <w:b/>
      <w:color w:val="000000"/>
      <w:sz w:val="16"/>
    </w:rPr>
  </w:style>
  <w:style w:type="paragraph" w:customStyle="1" w:styleId="Source23">
    <w:name w:val="Source 2/3"/>
    <w:basedOn w:val="NoteCaption"/>
    <w:semiHidden/>
    <w:rsid w:val="0060039B"/>
    <w:pPr>
      <w:spacing w:before="60" w:after="0" w:line="140" w:lineRule="exact"/>
    </w:pPr>
    <w:rPr>
      <w:sz w:val="12"/>
    </w:rPr>
  </w:style>
  <w:style w:type="paragraph" w:customStyle="1" w:styleId="SourceFull">
    <w:name w:val="Source Full"/>
    <w:basedOn w:val="NoteCaption"/>
    <w:semiHidden/>
    <w:rsid w:val="0060039B"/>
    <w:pPr>
      <w:spacing w:before="60" w:line="140" w:lineRule="exact"/>
      <w:ind w:left="-3600"/>
    </w:pPr>
    <w:rPr>
      <w:sz w:val="12"/>
    </w:rPr>
  </w:style>
  <w:style w:type="table" w:customStyle="1" w:styleId="SSIWarning">
    <w:name w:val="SSI Warning"/>
    <w:basedOn w:val="TableNormal"/>
    <w:rsid w:val="00994EC6"/>
    <w:pPr>
      <w:spacing w:after="0"/>
    </w:pPr>
    <w:rPr>
      <w:rFonts w:cs="Times New Roman"/>
      <w:color w:val="000000"/>
      <w:sz w:val="16"/>
      <w:szCs w:val="16"/>
    </w:rPr>
    <w:tblPr>
      <w:jc w:val="right"/>
      <w:tblInd w:w="0" w:type="dxa"/>
      <w:tblBorders>
        <w:top w:val="single" w:sz="4" w:space="0" w:color="auto"/>
        <w:left w:val="single" w:sz="4" w:space="0" w:color="auto"/>
        <w:bottom w:val="single" w:sz="4" w:space="0" w:color="auto"/>
        <w:right w:val="single" w:sz="4" w:space="0" w:color="auto"/>
      </w:tblBorders>
      <w:tblCellMar>
        <w:top w:w="0" w:type="dxa"/>
        <w:left w:w="72" w:type="dxa"/>
        <w:bottom w:w="0" w:type="dxa"/>
        <w:right w:w="72" w:type="dxa"/>
      </w:tblCellMar>
    </w:tblPr>
    <w:trPr>
      <w:jc w:val="right"/>
    </w:trPr>
    <w:tcPr>
      <w:shd w:val="clear" w:color="auto" w:fill="auto"/>
    </w:tcPr>
  </w:style>
  <w:style w:type="paragraph" w:customStyle="1" w:styleId="Style1">
    <w:name w:val="Style1"/>
    <w:next w:val="Normal"/>
    <w:semiHidden/>
    <w:rsid w:val="0060039B"/>
    <w:pPr>
      <w:keepNext/>
      <w:keepLines/>
      <w:spacing w:before="360" w:after="0"/>
      <w:ind w:left="-3586"/>
    </w:pPr>
    <w:rPr>
      <w:rFonts w:cs="Arial"/>
      <w:color w:val="000000"/>
      <w:sz w:val="28"/>
      <w:szCs w:val="20"/>
    </w:rPr>
  </w:style>
  <w:style w:type="paragraph" w:customStyle="1" w:styleId="Subject">
    <w:name w:val="Subject"/>
    <w:basedOn w:val="BodyText"/>
    <w:semiHidden/>
    <w:rsid w:val="0060039B"/>
    <w:rPr>
      <w:b/>
      <w:szCs w:val="22"/>
    </w:rPr>
  </w:style>
  <w:style w:type="character" w:customStyle="1" w:styleId="Subscript">
    <w:name w:val="Subscript"/>
    <w:semiHidden/>
    <w:rsid w:val="0060039B"/>
    <w:rPr>
      <w:vertAlign w:val="subscript"/>
    </w:rPr>
  </w:style>
  <w:style w:type="character" w:styleId="SubtleEmphasis">
    <w:name w:val="Subtle Emphasis"/>
    <w:basedOn w:val="DefaultParagraphFont"/>
    <w:uiPriority w:val="19"/>
    <w:semiHidden/>
    <w:rsid w:val="0060039B"/>
    <w:rPr>
      <w:rFonts w:eastAsia="Times New Roman" w:cs="Times New Roman"/>
      <w:bCs w:val="0"/>
      <w:i/>
      <w:iCs/>
      <w:color w:val="808080"/>
      <w:szCs w:val="22"/>
      <w:lang w:val="en-US"/>
    </w:rPr>
  </w:style>
  <w:style w:type="character" w:customStyle="1" w:styleId="Superscript">
    <w:name w:val="Superscript"/>
    <w:semiHidden/>
    <w:rsid w:val="0060039B"/>
    <w:rPr>
      <w:vertAlign w:val="superscript"/>
    </w:rPr>
  </w:style>
  <w:style w:type="paragraph" w:customStyle="1" w:styleId="SurveyHeading1">
    <w:name w:val="Survey Heading 1"/>
    <w:semiHidden/>
    <w:rsid w:val="0060039B"/>
    <w:pPr>
      <w:keepNext/>
      <w:keepLines/>
      <w:pBdr>
        <w:top w:val="single" w:sz="48" w:space="1" w:color="000000"/>
      </w:pBdr>
      <w:spacing w:before="440" w:after="0"/>
      <w:ind w:left="-3586" w:right="14"/>
    </w:pPr>
    <w:rPr>
      <w:rFonts w:cs="Arial"/>
      <w:color w:val="000000"/>
      <w:sz w:val="34"/>
      <w:szCs w:val="24"/>
    </w:rPr>
  </w:style>
  <w:style w:type="paragraph" w:customStyle="1" w:styleId="SurveyHeading2">
    <w:name w:val="Survey Heading 2"/>
    <w:next w:val="Normal"/>
    <w:semiHidden/>
    <w:rsid w:val="0060039B"/>
    <w:pPr>
      <w:keepNext/>
      <w:keepLines/>
      <w:pBdr>
        <w:top w:val="single" w:sz="4" w:space="1" w:color="000000"/>
      </w:pBdr>
      <w:spacing w:before="360" w:after="0"/>
      <w:ind w:left="-3586" w:right="14"/>
    </w:pPr>
    <w:rPr>
      <w:rFonts w:cs="Arial"/>
      <w:color w:val="000000"/>
      <w:sz w:val="28"/>
      <w:szCs w:val="20"/>
    </w:rPr>
  </w:style>
  <w:style w:type="paragraph" w:customStyle="1" w:styleId="SurveyHeading3">
    <w:name w:val="Survey Heading 3"/>
    <w:next w:val="Normal"/>
    <w:semiHidden/>
    <w:rsid w:val="0060039B"/>
    <w:pPr>
      <w:keepNext/>
      <w:keepLines/>
      <w:spacing w:before="360" w:after="0"/>
      <w:ind w:left="-3586"/>
    </w:pPr>
    <w:rPr>
      <w:rFonts w:cs="Arial"/>
      <w:color w:val="000000"/>
      <w:sz w:val="28"/>
      <w:szCs w:val="20"/>
    </w:rPr>
  </w:style>
  <w:style w:type="paragraph" w:customStyle="1" w:styleId="SurveyQuestion">
    <w:name w:val="Survey Question"/>
    <w:semiHidden/>
    <w:rsid w:val="0060039B"/>
    <w:pPr>
      <w:keepNext/>
      <w:keepLines/>
      <w:spacing w:before="240" w:after="120"/>
      <w:ind w:left="-3586" w:right="14"/>
    </w:pPr>
    <w:rPr>
      <w:rFonts w:cs="Arial"/>
      <w:color w:val="000000"/>
      <w:szCs w:val="20"/>
    </w:rPr>
  </w:style>
  <w:style w:type="paragraph" w:customStyle="1" w:styleId="TableHeavyLine5inch">
    <w:name w:val="TableHeavyLine 5 inch"/>
    <w:basedOn w:val="Normal"/>
    <w:semiHidden/>
    <w:rsid w:val="0060039B"/>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60039B"/>
    <w:pPr>
      <w:ind w:left="-3600"/>
    </w:pPr>
  </w:style>
  <w:style w:type="paragraph" w:customStyle="1" w:styleId="Testifier">
    <w:name w:val="Testifier"/>
    <w:basedOn w:val="MAINTITLE"/>
    <w:semiHidden/>
    <w:rsid w:val="0060039B"/>
    <w:pPr>
      <w:spacing w:after="0" w:line="240" w:lineRule="auto"/>
    </w:pPr>
    <w:rPr>
      <w:sz w:val="28"/>
    </w:rPr>
  </w:style>
  <w:style w:type="paragraph" w:customStyle="1" w:styleId="Title-Appendix">
    <w:name w:val="Title - Appendix"/>
    <w:basedOn w:val="Normal"/>
    <w:semiHidden/>
    <w:rsid w:val="0060039B"/>
    <w:rPr>
      <w:rFonts w:ascii="ITCCentury Book" w:hAnsi="ITCCentury Book"/>
      <w:color w:val="000000"/>
      <w:sz w:val="54"/>
    </w:rPr>
  </w:style>
  <w:style w:type="paragraph" w:customStyle="1" w:styleId="Title-Briefing">
    <w:name w:val="Title - Briefing"/>
    <w:basedOn w:val="Title-Appendix"/>
    <w:semiHidden/>
    <w:rsid w:val="0060039B"/>
  </w:style>
  <w:style w:type="paragraph" w:customStyle="1" w:styleId="Title-Executive">
    <w:name w:val="Title - Executive"/>
    <w:basedOn w:val="Title-Appendix"/>
    <w:semiHidden/>
    <w:rsid w:val="0060039B"/>
  </w:style>
  <w:style w:type="paragraph" w:customStyle="1" w:styleId="Title-Chapter">
    <w:name w:val="Title - Chapter"/>
    <w:basedOn w:val="Title-Executive"/>
    <w:semiHidden/>
    <w:rsid w:val="0060039B"/>
  </w:style>
  <w:style w:type="paragraph" w:customStyle="1" w:styleId="Title-Related">
    <w:name w:val="Title - Related"/>
    <w:basedOn w:val="Title-Appendix"/>
    <w:semiHidden/>
    <w:rsid w:val="0060039B"/>
  </w:style>
  <w:style w:type="character" w:customStyle="1" w:styleId="TOCPageNumber">
    <w:name w:val="TOCPageNumber"/>
    <w:basedOn w:val="DefaultParagraphFont"/>
    <w:semiHidden/>
    <w:rsid w:val="0060039B"/>
    <w:rPr>
      <w:noProof w:val="0"/>
      <w:sz w:val="22"/>
      <w:szCs w:val="22"/>
      <w:lang w:val="en-US"/>
    </w:rPr>
  </w:style>
  <w:style w:type="character" w:customStyle="1" w:styleId="Underline">
    <w:name w:val="Underline"/>
    <w:semiHidden/>
    <w:rsid w:val="0060039B"/>
  </w:style>
  <w:style w:type="paragraph" w:customStyle="1" w:styleId="UnitedStatesGovernmentAccountabilityOffice">
    <w:name w:val="United States Government Accountability Office"/>
    <w:basedOn w:val="Normal"/>
    <w:semiHidden/>
    <w:rsid w:val="0060039B"/>
    <w:pPr>
      <w:framePr w:w="5040" w:hSpace="187" w:vSpace="187" w:wrap="around" w:vAnchor="page" w:hAnchor="page" w:x="721" w:y="2017"/>
      <w:tabs>
        <w:tab w:val="left" w:pos="3960"/>
      </w:tabs>
      <w:spacing w:line="220" w:lineRule="exact"/>
    </w:pPr>
    <w:rPr>
      <w:rFonts w:ascii="ITCCentury Book" w:hAnsi="ITCCentury Book"/>
      <w:b/>
      <w:color w:val="000000"/>
      <w:sz w:val="20"/>
    </w:rPr>
  </w:style>
  <w:style w:type="table" w:customStyle="1" w:styleId="LightShading2">
    <w:name w:val="Light Shading2"/>
    <w:basedOn w:val="TableNormal"/>
    <w:uiPriority w:val="60"/>
    <w:rsid w:val="0060039B"/>
    <w:pPr>
      <w:spacing w:after="0"/>
    </w:pPr>
    <w:rPr>
      <w:color w:val="033A6C" w:themeColor="text1" w:themeShade="BF"/>
    </w:rPr>
    <w:tblPr>
      <w:tblStyleRowBandSize w:val="1"/>
      <w:tblStyleColBandSize w:val="1"/>
      <w:tblInd w:w="0" w:type="dxa"/>
      <w:tblBorders>
        <w:top w:val="single" w:sz="8" w:space="0" w:color="044F91" w:themeColor="text1"/>
        <w:bottom w:val="single" w:sz="8" w:space="0" w:color="044F91"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la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C" w:themeFill="text1" w:themeFillTint="3F"/>
      </w:tcPr>
    </w:tblStylePr>
    <w:tblStylePr w:type="band1Horz">
      <w:tblPr/>
      <w:tcPr>
        <w:tcBorders>
          <w:left w:val="nil"/>
          <w:right w:val="nil"/>
          <w:insideH w:val="nil"/>
          <w:insideV w:val="nil"/>
        </w:tcBorders>
        <w:shd w:val="clear" w:color="auto" w:fill="A8D4FC" w:themeFill="text1" w:themeFillTint="3F"/>
      </w:tcPr>
    </w:tblStylePr>
  </w:style>
  <w:style w:type="table" w:customStyle="1" w:styleId="LightShading-Accent12">
    <w:name w:val="Light Shading - Accent 12"/>
    <w:basedOn w:val="TableNormal"/>
    <w:uiPriority w:val="60"/>
    <w:rsid w:val="0060039B"/>
    <w:pPr>
      <w:spacing w:after="0"/>
    </w:pPr>
    <w:rPr>
      <w:color w:val="3298FF" w:themeColor="accent1" w:themeShade="BF"/>
    </w:rPr>
    <w:tblPr>
      <w:tblStyleRowBandSize w:val="1"/>
      <w:tblStyleColBandSize w:val="1"/>
      <w:tblInd w:w="0" w:type="dxa"/>
      <w:tblBorders>
        <w:top w:val="single" w:sz="8" w:space="0" w:color="99CCFF" w:themeColor="accent1"/>
        <w:bottom w:val="single" w:sz="8" w:space="0" w:color="99CCF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customStyle="1" w:styleId="LightList1">
    <w:name w:val="Light List1"/>
    <w:basedOn w:val="TableNormal"/>
    <w:uiPriority w:val="61"/>
    <w:rsid w:val="00994EC6"/>
    <w:pPr>
      <w:spacing w:before="0" w:after="0"/>
    </w:pPr>
    <w:tblPr>
      <w:tblStyleRowBandSize w:val="1"/>
      <w:tblStyleColBandSize w:val="1"/>
      <w:tblInd w:w="0" w:type="dxa"/>
      <w:tblBorders>
        <w:top w:val="single" w:sz="8" w:space="0" w:color="044F91" w:themeColor="text1"/>
        <w:left w:val="single" w:sz="8" w:space="0" w:color="044F91" w:themeColor="text1"/>
        <w:bottom w:val="single" w:sz="8" w:space="0" w:color="044F91" w:themeColor="text1"/>
        <w:right w:val="single" w:sz="8" w:space="0" w:color="044F91"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44F91" w:themeFill="text1"/>
      </w:tcPr>
    </w:tblStylePr>
    <w:tblStylePr w:type="lastRow">
      <w:pPr>
        <w:spacing w:before="0" w:after="0" w:line="240" w:lineRule="auto"/>
      </w:pPr>
      <w:rPr>
        <w:b/>
        <w:bCs/>
      </w:rPr>
      <w:tblPr/>
      <w:tcPr>
        <w:tcBorders>
          <w:top w:val="double" w:sz="6" w:space="0" w:color="044F91" w:themeColor="text1"/>
          <w:left w:val="single" w:sz="8" w:space="0" w:color="044F91" w:themeColor="text1"/>
          <w:bottom w:val="single" w:sz="8" w:space="0" w:color="044F91" w:themeColor="text1"/>
          <w:right w:val="single" w:sz="8" w:space="0" w:color="044F91" w:themeColor="text1"/>
        </w:tcBorders>
      </w:tcPr>
    </w:tblStylePr>
    <w:tblStylePr w:type="firstCol">
      <w:rPr>
        <w:b/>
        <w:bCs/>
      </w:rPr>
    </w:tblStylePr>
    <w:tblStylePr w:type="lastCol">
      <w:rPr>
        <w:b/>
        <w:bCs/>
      </w:rPr>
    </w:tblStylePr>
    <w:tblStylePr w:type="band1Vert">
      <w:tblPr/>
      <w:tcPr>
        <w:tcBorders>
          <w:top w:val="single" w:sz="8" w:space="0" w:color="044F91" w:themeColor="text1"/>
          <w:left w:val="single" w:sz="8" w:space="0" w:color="044F91" w:themeColor="text1"/>
          <w:bottom w:val="single" w:sz="8" w:space="0" w:color="044F91" w:themeColor="text1"/>
          <w:right w:val="single" w:sz="8" w:space="0" w:color="044F91" w:themeColor="text1"/>
        </w:tcBorders>
      </w:tcPr>
    </w:tblStylePr>
    <w:tblStylePr w:type="band1Horz">
      <w:tblPr/>
      <w:tcPr>
        <w:tcBorders>
          <w:top w:val="single" w:sz="8" w:space="0" w:color="044F91" w:themeColor="text1"/>
          <w:left w:val="single" w:sz="8" w:space="0" w:color="044F91" w:themeColor="text1"/>
          <w:bottom w:val="single" w:sz="8" w:space="0" w:color="044F91" w:themeColor="text1"/>
          <w:right w:val="single" w:sz="8" w:space="0" w:color="044F91" w:themeColor="text1"/>
        </w:tcBorders>
      </w:tcPr>
    </w:tblStylePr>
  </w:style>
  <w:style w:type="table" w:styleId="LightShading-Accent6">
    <w:name w:val="Light Shading Accent 6"/>
    <w:basedOn w:val="TableNormal"/>
    <w:uiPriority w:val="60"/>
    <w:rsid w:val="00994EC6"/>
    <w:pPr>
      <w:spacing w:before="0" w:after="0"/>
    </w:pPr>
    <w:rPr>
      <w:color w:val="0D6F35" w:themeColor="accent6" w:themeShade="BF"/>
    </w:rPr>
    <w:tblPr>
      <w:tblStyleRowBandSize w:val="1"/>
      <w:tblStyleColBandSize w:val="1"/>
      <w:tblInd w:w="0" w:type="dxa"/>
      <w:tblBorders>
        <w:top w:val="single" w:sz="8" w:space="0" w:color="129548" w:themeColor="accent6"/>
        <w:bottom w:val="single" w:sz="8" w:space="0" w:color="12954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la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5CE" w:themeFill="accent6" w:themeFillTint="3F"/>
      </w:tcPr>
    </w:tblStylePr>
    <w:tblStylePr w:type="band1Horz">
      <w:tblPr/>
      <w:tcPr>
        <w:tcBorders>
          <w:left w:val="nil"/>
          <w:right w:val="nil"/>
          <w:insideH w:val="nil"/>
          <w:insideV w:val="nil"/>
        </w:tcBorders>
        <w:shd w:val="clear" w:color="auto" w:fill="B3F5CE" w:themeFill="accent6" w:themeFillTint="3F"/>
      </w:tcPr>
    </w:tblStylePr>
  </w:style>
  <w:style w:type="table" w:styleId="MediumGrid2-Accent6">
    <w:name w:val="Medium Grid 2 Accent 6"/>
    <w:basedOn w:val="TableNormal"/>
    <w:uiPriority w:val="68"/>
    <w:rsid w:val="00994EC6"/>
    <w:pPr>
      <w:spacing w:before="0" w:after="0"/>
    </w:pPr>
    <w:rPr>
      <w:rFonts w:asciiTheme="majorHAnsi" w:eastAsiaTheme="majorEastAsia" w:hAnsiTheme="majorHAnsi" w:cstheme="majorBidi"/>
      <w:color w:val="044F91" w:themeColor="text1"/>
    </w:rPr>
    <w:tblPr>
      <w:tblStyleRowBandSize w:val="1"/>
      <w:tblStyleColBandSize w:val="1"/>
      <w:tblInd w:w="0" w:type="dxa"/>
      <w:tblBorders>
        <w:top w:val="single" w:sz="8" w:space="0" w:color="129548" w:themeColor="accent6"/>
        <w:left w:val="single" w:sz="8" w:space="0" w:color="129548" w:themeColor="accent6"/>
        <w:bottom w:val="single" w:sz="8" w:space="0" w:color="129548" w:themeColor="accent6"/>
        <w:right w:val="single" w:sz="8" w:space="0" w:color="129548" w:themeColor="accent6"/>
        <w:insideH w:val="single" w:sz="8" w:space="0" w:color="129548" w:themeColor="accent6"/>
        <w:insideV w:val="single" w:sz="8" w:space="0" w:color="129548" w:themeColor="accent6"/>
      </w:tblBorders>
      <w:tblCellMar>
        <w:top w:w="0" w:type="dxa"/>
        <w:left w:w="108" w:type="dxa"/>
        <w:bottom w:w="0" w:type="dxa"/>
        <w:right w:w="108" w:type="dxa"/>
      </w:tblCellMar>
    </w:tblPr>
    <w:tcPr>
      <w:shd w:val="clear" w:color="auto" w:fill="B3F5CE" w:themeFill="accent6" w:themeFillTint="3F"/>
    </w:tcPr>
    <w:tblStylePr w:type="firstRow">
      <w:rPr>
        <w:b/>
        <w:bCs/>
        <w:color w:val="044F91" w:themeColor="text1"/>
      </w:rPr>
      <w:tblPr/>
      <w:tcPr>
        <w:shd w:val="clear" w:color="auto" w:fill="E0FBEB" w:themeFill="accent6" w:themeFillTint="19"/>
      </w:tcPr>
    </w:tblStylePr>
    <w:tblStylePr w:type="lastRow">
      <w:rPr>
        <w:b/>
        <w:bCs/>
        <w:color w:val="044F91" w:themeColor="text1"/>
      </w:rPr>
      <w:tblPr/>
      <w:tcPr>
        <w:tcBorders>
          <w:top w:val="single" w:sz="12" w:space="0" w:color="044F91" w:themeColor="text1"/>
          <w:left w:val="nil"/>
          <w:bottom w:val="nil"/>
          <w:right w:val="nil"/>
          <w:insideH w:val="nil"/>
          <w:insideV w:val="nil"/>
        </w:tcBorders>
        <w:shd w:val="clear" w:color="auto" w:fill="FFFFFF" w:themeFill="background1"/>
      </w:tcPr>
    </w:tblStylePr>
    <w:tblStylePr w:type="firstCol">
      <w:rPr>
        <w:b/>
        <w:bCs/>
        <w:color w:val="044F9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44F91" w:themeColor="text1"/>
      </w:rPr>
      <w:tblPr/>
      <w:tcPr>
        <w:tcBorders>
          <w:top w:val="nil"/>
          <w:left w:val="nil"/>
          <w:bottom w:val="nil"/>
          <w:right w:val="nil"/>
          <w:insideH w:val="nil"/>
          <w:insideV w:val="nil"/>
        </w:tcBorders>
        <w:shd w:val="clear" w:color="auto" w:fill="C1F7D7" w:themeFill="accent6" w:themeFillTint="33"/>
      </w:tcPr>
    </w:tblStylePr>
    <w:tblStylePr w:type="band1Vert">
      <w:tblPr/>
      <w:tcPr>
        <w:shd w:val="clear" w:color="auto" w:fill="66EC9D" w:themeFill="accent6" w:themeFillTint="7F"/>
      </w:tcPr>
    </w:tblStylePr>
    <w:tblStylePr w:type="band1Horz">
      <w:tblPr/>
      <w:tcPr>
        <w:tcBorders>
          <w:insideH w:val="single" w:sz="6" w:space="0" w:color="129548" w:themeColor="accent6"/>
          <w:insideV w:val="single" w:sz="6" w:space="0" w:color="129548" w:themeColor="accent6"/>
        </w:tcBorders>
        <w:shd w:val="clear" w:color="auto" w:fill="66EC9D" w:themeFill="accent6" w:themeFillTint="7F"/>
      </w:tcPr>
    </w:tblStylePr>
    <w:tblStylePr w:type="nwCell">
      <w:tblPr/>
      <w:tcPr>
        <w:shd w:val="clear" w:color="auto" w:fill="FFFFFF" w:themeFill="background1"/>
      </w:tcPr>
    </w:tblStylePr>
  </w:style>
  <w:style w:type="character" w:customStyle="1" w:styleId="hps">
    <w:name w:val="hps"/>
    <w:rsid w:val="000B7283"/>
  </w:style>
  <w:style w:type="character" w:customStyle="1" w:styleId="shorttext">
    <w:name w:val="short_text"/>
    <w:rsid w:val="000B7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org/press/p140423.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ialstabilityboard.org/list/fsb_publications/tid_141/index.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f.org/external/np/fsap/fssa.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o.gov/products/GAO-14-26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AO Color Palette">
      <a:dk1>
        <a:srgbClr val="044F91"/>
      </a:dk1>
      <a:lt1>
        <a:sysClr val="window" lastClr="FFFFFF"/>
      </a:lt1>
      <a:dk2>
        <a:srgbClr val="044F91"/>
      </a:dk2>
      <a:lt2>
        <a:srgbClr val="FFFFFF"/>
      </a:lt2>
      <a:accent1>
        <a:srgbClr val="99CCFF"/>
      </a:accent1>
      <a:accent2>
        <a:srgbClr val="409993"/>
      </a:accent2>
      <a:accent3>
        <a:srgbClr val="330033"/>
      </a:accent3>
      <a:accent4>
        <a:srgbClr val="A71930"/>
      </a:accent4>
      <a:accent5>
        <a:srgbClr val="BB9115"/>
      </a:accent5>
      <a:accent6>
        <a:srgbClr val="129548"/>
      </a:accent6>
      <a:hlink>
        <a:srgbClr val="409993"/>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0953-BB2D-4860-A4E8-0ABC9E04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6880</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GAO</Company>
  <LinksUpToDate>false</LinksUpToDate>
  <CharactersWithSpaces>46004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Tsuhara</dc:creator>
  <cp:keywords/>
  <dc:description/>
  <cp:lastModifiedBy>MForster</cp:lastModifiedBy>
  <cp:revision>3</cp:revision>
  <cp:lastPrinted>2014-09-24T20:26:00Z</cp:lastPrinted>
  <dcterms:created xsi:type="dcterms:W3CDTF">2014-09-26T16:35:00Z</dcterms:created>
  <dcterms:modified xsi:type="dcterms:W3CDTF">2014-09-26T16:39:00Z</dcterms:modified>
</cp:coreProperties>
</file>