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95959" w:themeColor="text1" w:themeTint="A6"/>
          <w:sz w:val="22"/>
        </w:rPr>
        <w:id w:val="-729765823"/>
        <w:placeholder>
          <w:docPart w:val="5FB16CCE3C424174936E78DA07EA1C11"/>
        </w:placeholder>
      </w:sdtPr>
      <w:sdtEndPr>
        <w:rPr>
          <w:color w:val="1F497D" w:themeColor="text2"/>
        </w:rPr>
      </w:sdtEndPr>
      <w:sdtContent>
        <w:p w:rsidR="00B77ECB" w:rsidRPr="00A606E9" w:rsidRDefault="006C0845" w:rsidP="00B77ECB">
          <w:pPr>
            <w:rPr>
              <w:sz w:val="22"/>
            </w:rPr>
          </w:pPr>
          <w:r w:rsidRPr="00A606E9">
            <w:rPr>
              <w:sz w:val="22"/>
            </w:rPr>
            <w:t>2</w:t>
          </w:r>
          <w:r w:rsidR="008B04FE">
            <w:rPr>
              <w:sz w:val="22"/>
            </w:rPr>
            <w:t>8</w:t>
          </w:r>
          <w:r w:rsidRPr="00A606E9">
            <w:rPr>
              <w:sz w:val="22"/>
              <w:vertAlign w:val="superscript"/>
            </w:rPr>
            <w:t>th</w:t>
          </w:r>
          <w:r w:rsidRPr="00A606E9">
            <w:rPr>
              <w:sz w:val="22"/>
            </w:rPr>
            <w:t xml:space="preserve"> June 2017</w:t>
          </w:r>
        </w:p>
      </w:sdtContent>
    </w:sdt>
    <w:p w:rsidR="00B16F64" w:rsidRPr="0020233A" w:rsidRDefault="00B16F64" w:rsidP="007B6AA5">
      <w:pPr>
        <w:rPr>
          <w:rFonts w:cs="Arial"/>
          <w:sz w:val="22"/>
        </w:rPr>
      </w:pPr>
    </w:p>
    <w:p w:rsidR="006E4BFB" w:rsidRDefault="006E4BFB" w:rsidP="006C0845">
      <w:pPr>
        <w:jc w:val="center"/>
        <w:rPr>
          <w:rFonts w:cs="Arial"/>
          <w:b/>
          <w:sz w:val="28"/>
          <w:szCs w:val="28"/>
        </w:rPr>
      </w:pPr>
    </w:p>
    <w:p w:rsidR="006E4BFB" w:rsidRDefault="006E4BFB" w:rsidP="006C0845">
      <w:pPr>
        <w:jc w:val="center"/>
        <w:rPr>
          <w:rFonts w:cs="Arial"/>
          <w:b/>
          <w:sz w:val="28"/>
          <w:szCs w:val="28"/>
        </w:rPr>
      </w:pPr>
      <w:bookmarkStart w:id="0" w:name="_GoBack"/>
      <w:bookmarkEnd w:id="0"/>
    </w:p>
    <w:p w:rsidR="006C0845" w:rsidRPr="00A606E9" w:rsidRDefault="006C0845" w:rsidP="006C0845">
      <w:pPr>
        <w:jc w:val="center"/>
        <w:rPr>
          <w:rFonts w:cs="Arial"/>
          <w:b/>
          <w:sz w:val="28"/>
          <w:szCs w:val="28"/>
        </w:rPr>
      </w:pPr>
      <w:r w:rsidRPr="00A606E9">
        <w:rPr>
          <w:rFonts w:cs="Arial"/>
          <w:b/>
          <w:sz w:val="28"/>
          <w:szCs w:val="28"/>
        </w:rPr>
        <w:t>Note for the attention of the Goal Chairs Collaboration group</w:t>
      </w:r>
    </w:p>
    <w:p w:rsidR="006C0845" w:rsidRDefault="006C0845" w:rsidP="0020233A">
      <w:pPr>
        <w:rPr>
          <w:rFonts w:cs="Arial"/>
          <w:sz w:val="22"/>
          <w:u w:val="single"/>
        </w:rPr>
      </w:pPr>
    </w:p>
    <w:p w:rsidR="006C0845" w:rsidRDefault="006C0845" w:rsidP="0020233A">
      <w:pPr>
        <w:rPr>
          <w:rFonts w:cs="Arial"/>
          <w:sz w:val="22"/>
          <w:u w:val="single"/>
        </w:rPr>
      </w:pPr>
    </w:p>
    <w:p w:rsidR="00B77ECB" w:rsidRPr="00AF5125" w:rsidRDefault="006C0845" w:rsidP="0020233A">
      <w:pPr>
        <w:rPr>
          <w:rFonts w:cs="Arial"/>
          <w:b/>
          <w:sz w:val="22"/>
        </w:rPr>
      </w:pPr>
      <w:r w:rsidRPr="00AF5125">
        <w:rPr>
          <w:rFonts w:cs="Arial"/>
          <w:sz w:val="22"/>
          <w:u w:val="single"/>
        </w:rPr>
        <w:t>Subject:</w:t>
      </w:r>
      <w:r w:rsidR="00A606E9" w:rsidRPr="00AF5125">
        <w:rPr>
          <w:rFonts w:cs="Arial"/>
          <w:sz w:val="22"/>
        </w:rPr>
        <w:t xml:space="preserve"> </w:t>
      </w:r>
      <w:r w:rsidRPr="00AF5125">
        <w:rPr>
          <w:rFonts w:cs="Arial"/>
          <w:b/>
          <w:sz w:val="22"/>
        </w:rPr>
        <w:t xml:space="preserve">The effective date </w:t>
      </w:r>
      <w:r w:rsidR="00A606E9" w:rsidRPr="00AF5125">
        <w:rPr>
          <w:rFonts w:cs="Arial"/>
          <w:b/>
          <w:sz w:val="22"/>
        </w:rPr>
        <w:t>of</w:t>
      </w:r>
      <w:r w:rsidRPr="00AF5125">
        <w:rPr>
          <w:rFonts w:cs="Arial"/>
          <w:b/>
          <w:sz w:val="22"/>
        </w:rPr>
        <w:t xml:space="preserve"> new pronouncements</w:t>
      </w:r>
    </w:p>
    <w:p w:rsidR="006C0845" w:rsidRDefault="006C0845" w:rsidP="0020233A">
      <w:pPr>
        <w:rPr>
          <w:rFonts w:cs="Arial"/>
          <w:b/>
          <w:sz w:val="22"/>
        </w:rPr>
      </w:pPr>
    </w:p>
    <w:p w:rsidR="006C0845" w:rsidRDefault="006C0845" w:rsidP="0020233A">
      <w:pPr>
        <w:rPr>
          <w:rFonts w:cs="Arial"/>
          <w:b/>
          <w:sz w:val="22"/>
        </w:rPr>
      </w:pPr>
    </w:p>
    <w:p w:rsidR="00EA4F7C" w:rsidRPr="0007436C" w:rsidRDefault="00EA4F7C" w:rsidP="00EA4F7C">
      <w:pPr>
        <w:pStyle w:val="Heading3"/>
        <w:rPr>
          <w:rFonts w:eastAsiaTheme="minorHAnsi"/>
          <w:color w:val="1F497D" w:themeColor="text2"/>
        </w:rPr>
      </w:pPr>
      <w:r w:rsidRPr="0007436C">
        <w:rPr>
          <w:rFonts w:eastAsiaTheme="minorHAnsi"/>
          <w:color w:val="1F497D" w:themeColor="text2"/>
        </w:rPr>
        <w:t>Introduction</w:t>
      </w:r>
    </w:p>
    <w:p w:rsidR="006C0845" w:rsidRPr="00EA4F7C" w:rsidRDefault="006C0845" w:rsidP="00EA4F7C">
      <w:pPr>
        <w:pStyle w:val="Para1"/>
        <w:rPr>
          <w:rFonts w:asciiTheme="minorHAnsi" w:eastAsiaTheme="minorHAnsi" w:hAnsiTheme="minorHAnsi" w:cs="Arial"/>
          <w:color w:val="1F497D" w:themeColor="text2"/>
          <w:szCs w:val="22"/>
          <w:lang w:eastAsia="en-US"/>
        </w:rPr>
      </w:pPr>
      <w:r w:rsidRPr="00EA4F7C">
        <w:rPr>
          <w:rFonts w:asciiTheme="minorHAnsi" w:eastAsiaTheme="minorHAnsi" w:hAnsiTheme="minorHAnsi" w:cs="Arial"/>
          <w:color w:val="1F497D" w:themeColor="text2"/>
          <w:szCs w:val="22"/>
          <w:lang w:eastAsia="en-US"/>
        </w:rPr>
        <w:t>The effective date is the date on which a new pronouncement becomes part of the INTOSAI Framework of Professional Standards</w:t>
      </w:r>
      <w:r w:rsidR="0007436C">
        <w:rPr>
          <w:rFonts w:asciiTheme="minorHAnsi" w:eastAsiaTheme="minorHAnsi" w:hAnsiTheme="minorHAnsi" w:cs="Arial"/>
          <w:color w:val="1F497D" w:themeColor="text2"/>
          <w:szCs w:val="22"/>
          <w:lang w:eastAsia="en-US"/>
        </w:rPr>
        <w:t xml:space="preserve"> (IFPP)</w:t>
      </w:r>
      <w:r w:rsidRPr="00EA4F7C">
        <w:rPr>
          <w:rFonts w:asciiTheme="minorHAnsi" w:eastAsiaTheme="minorHAnsi" w:hAnsiTheme="minorHAnsi" w:cs="Arial"/>
          <w:color w:val="1F497D" w:themeColor="text2"/>
          <w:szCs w:val="22"/>
          <w:lang w:eastAsia="en-US"/>
        </w:rPr>
        <w:t>. This is of particular significance when the pronouncement concerned is, in the context of the revised framework, an International Standard of Supreme Audit Institutions (ISSAI – the red box in the diagram that appears as Figure 2 of the 2017-2019 SDP)</w:t>
      </w:r>
      <w:r w:rsidR="00A70B94" w:rsidRPr="00EA4F7C">
        <w:rPr>
          <w:rFonts w:asciiTheme="minorHAnsi" w:eastAsiaTheme="minorHAnsi" w:hAnsiTheme="minorHAnsi" w:cs="Arial"/>
          <w:color w:val="1F497D" w:themeColor="text2"/>
          <w:szCs w:val="22"/>
          <w:lang w:eastAsia="en-US"/>
        </w:rPr>
        <w:t xml:space="preserve">. This significance arises from the fact that an SAI that claims compliance with the ISSAIs in its audit opinions in accordance with paragraph 10 of ISSAI 100 must ensure that it </w:t>
      </w:r>
      <w:r w:rsidR="00A606E9">
        <w:rPr>
          <w:rFonts w:asciiTheme="minorHAnsi" w:eastAsiaTheme="minorHAnsi" w:hAnsiTheme="minorHAnsi" w:cs="Arial"/>
          <w:color w:val="1F497D" w:themeColor="text2"/>
          <w:szCs w:val="22"/>
          <w:lang w:eastAsia="en-US"/>
        </w:rPr>
        <w:t xml:space="preserve">fully </w:t>
      </w:r>
      <w:r w:rsidR="00A70B94" w:rsidRPr="00EA4F7C">
        <w:rPr>
          <w:rFonts w:asciiTheme="minorHAnsi" w:eastAsiaTheme="minorHAnsi" w:hAnsiTheme="minorHAnsi" w:cs="Arial"/>
          <w:color w:val="1F497D" w:themeColor="text2"/>
          <w:szCs w:val="22"/>
          <w:lang w:eastAsia="en-US"/>
        </w:rPr>
        <w:t xml:space="preserve">complies with </w:t>
      </w:r>
      <w:r w:rsidR="00C50E7A">
        <w:rPr>
          <w:rFonts w:asciiTheme="minorHAnsi" w:eastAsiaTheme="minorHAnsi" w:hAnsiTheme="minorHAnsi" w:cs="Arial"/>
          <w:color w:val="1F497D" w:themeColor="text2"/>
          <w:szCs w:val="22"/>
          <w:lang w:eastAsia="en-US"/>
        </w:rPr>
        <w:t xml:space="preserve">all relevant </w:t>
      </w:r>
      <w:r w:rsidR="00A70B94" w:rsidRPr="00EA4F7C">
        <w:rPr>
          <w:rFonts w:asciiTheme="minorHAnsi" w:eastAsiaTheme="minorHAnsi" w:hAnsiTheme="minorHAnsi" w:cs="Arial"/>
          <w:color w:val="1F497D" w:themeColor="text2"/>
          <w:szCs w:val="22"/>
          <w:lang w:eastAsia="en-US"/>
        </w:rPr>
        <w:t>pronouncement</w:t>
      </w:r>
      <w:r w:rsidR="00C50E7A">
        <w:rPr>
          <w:rFonts w:asciiTheme="minorHAnsi" w:eastAsiaTheme="minorHAnsi" w:hAnsiTheme="minorHAnsi" w:cs="Arial"/>
          <w:color w:val="1F497D" w:themeColor="text2"/>
          <w:szCs w:val="22"/>
          <w:lang w:eastAsia="en-US"/>
        </w:rPr>
        <w:t>s. This includes any new or revised relevant pronouncements that have entered into effect.</w:t>
      </w:r>
    </w:p>
    <w:p w:rsidR="00A70B94" w:rsidRPr="00EA4F7C" w:rsidRDefault="00A70B94" w:rsidP="00EA4F7C">
      <w:pPr>
        <w:pStyle w:val="Para1"/>
        <w:rPr>
          <w:rFonts w:asciiTheme="minorHAnsi" w:eastAsiaTheme="minorHAnsi" w:hAnsiTheme="minorHAnsi" w:cs="Arial"/>
          <w:color w:val="1F497D" w:themeColor="text2"/>
          <w:szCs w:val="22"/>
          <w:lang w:eastAsia="en-US"/>
        </w:rPr>
      </w:pPr>
      <w:r w:rsidRPr="00EA4F7C">
        <w:rPr>
          <w:rFonts w:asciiTheme="minorHAnsi" w:eastAsiaTheme="minorHAnsi" w:hAnsiTheme="minorHAnsi" w:cs="Arial"/>
          <w:color w:val="1F497D" w:themeColor="text2"/>
          <w:szCs w:val="22"/>
          <w:lang w:eastAsia="en-US"/>
        </w:rPr>
        <w:t xml:space="preserve">The PSC Secretariat presented the revised INTOSAI Due Process at the PSC Steering Committee meeting in Brasilia on 8th June 2017. During that presentation, we stated that the effective date can be </w:t>
      </w:r>
      <w:r w:rsidR="00C50E7A">
        <w:rPr>
          <w:rFonts w:asciiTheme="minorHAnsi" w:eastAsiaTheme="minorHAnsi" w:hAnsiTheme="minorHAnsi" w:cs="Arial"/>
          <w:color w:val="1F497D" w:themeColor="text2"/>
          <w:szCs w:val="22"/>
          <w:lang w:eastAsia="en-US"/>
        </w:rPr>
        <w:t>subsequent to</w:t>
      </w:r>
      <w:r w:rsidRPr="00EA4F7C">
        <w:rPr>
          <w:rFonts w:asciiTheme="minorHAnsi" w:eastAsiaTheme="minorHAnsi" w:hAnsiTheme="minorHAnsi" w:cs="Arial"/>
          <w:color w:val="1F497D" w:themeColor="text2"/>
          <w:szCs w:val="22"/>
          <w:lang w:eastAsia="en-US"/>
        </w:rPr>
        <w:t xml:space="preserve"> the Governing Board </w:t>
      </w:r>
      <w:r w:rsidR="00A606E9">
        <w:rPr>
          <w:rFonts w:asciiTheme="minorHAnsi" w:eastAsiaTheme="minorHAnsi" w:hAnsiTheme="minorHAnsi" w:cs="Arial"/>
          <w:color w:val="1F497D" w:themeColor="text2"/>
          <w:szCs w:val="22"/>
          <w:lang w:eastAsia="en-US"/>
        </w:rPr>
        <w:t xml:space="preserve">decides to </w:t>
      </w:r>
      <w:r w:rsidRPr="00EA4F7C">
        <w:rPr>
          <w:rFonts w:asciiTheme="minorHAnsi" w:eastAsiaTheme="minorHAnsi" w:hAnsiTheme="minorHAnsi" w:cs="Arial"/>
          <w:color w:val="1F497D" w:themeColor="text2"/>
          <w:szCs w:val="22"/>
          <w:lang w:eastAsia="en-US"/>
        </w:rPr>
        <w:t xml:space="preserve">refer the endorsement version of the pronouncement </w:t>
      </w:r>
      <w:r w:rsidR="00EA4F7C" w:rsidRPr="00EA4F7C">
        <w:rPr>
          <w:rFonts w:asciiTheme="minorHAnsi" w:eastAsiaTheme="minorHAnsi" w:hAnsiTheme="minorHAnsi" w:cs="Arial"/>
          <w:color w:val="1F497D" w:themeColor="text2"/>
          <w:szCs w:val="22"/>
          <w:lang w:eastAsia="en-US"/>
        </w:rPr>
        <w:t>to INCOSAI for final endorsement. Thus, in our interpretation of Due Process, the effective date can be before final endorsement by INCOSAI.</w:t>
      </w:r>
    </w:p>
    <w:p w:rsidR="00EA4F7C" w:rsidRPr="00EA4F7C" w:rsidRDefault="00EA4F7C" w:rsidP="00EA4F7C">
      <w:pPr>
        <w:pStyle w:val="Para1"/>
        <w:rPr>
          <w:rFonts w:asciiTheme="minorHAnsi" w:eastAsiaTheme="minorHAnsi" w:hAnsiTheme="minorHAnsi" w:cs="Arial"/>
          <w:color w:val="1F497D" w:themeColor="text2"/>
          <w:szCs w:val="22"/>
          <w:lang w:eastAsia="en-US"/>
        </w:rPr>
      </w:pPr>
      <w:r w:rsidRPr="00EA4F7C">
        <w:rPr>
          <w:rFonts w:asciiTheme="minorHAnsi" w:eastAsiaTheme="minorHAnsi" w:hAnsiTheme="minorHAnsi" w:cs="Arial"/>
          <w:color w:val="1F497D" w:themeColor="text2"/>
          <w:szCs w:val="22"/>
          <w:lang w:eastAsia="en-US"/>
        </w:rPr>
        <w:t>The representative of the INTOSAI General Secretariat present at the PSC-SC questioned this interpretation of Due Process and suggested that the matter is put to the Governing Board meeting in November 2017 for clarification.</w:t>
      </w:r>
    </w:p>
    <w:p w:rsidR="00EA4F7C" w:rsidRDefault="00EA4F7C" w:rsidP="00EA4F7C">
      <w:pPr>
        <w:pStyle w:val="Para1"/>
        <w:rPr>
          <w:rFonts w:asciiTheme="minorHAnsi" w:eastAsiaTheme="minorHAnsi" w:hAnsiTheme="minorHAnsi" w:cs="Arial"/>
          <w:color w:val="1F497D" w:themeColor="text2"/>
          <w:szCs w:val="22"/>
          <w:lang w:eastAsia="en-US"/>
        </w:rPr>
      </w:pPr>
      <w:r w:rsidRPr="00EA4F7C">
        <w:rPr>
          <w:rFonts w:asciiTheme="minorHAnsi" w:eastAsiaTheme="minorHAnsi" w:hAnsiTheme="minorHAnsi" w:cs="Arial"/>
          <w:color w:val="1F497D" w:themeColor="text2"/>
          <w:szCs w:val="22"/>
          <w:lang w:eastAsia="en-US"/>
        </w:rPr>
        <w:t>Before making a submission to the Governing Board, the PSC Secretariat would like to share the issue with the GCC as Due Process is a matter of common interest.</w:t>
      </w:r>
      <w:r w:rsidR="00A606E9">
        <w:rPr>
          <w:rFonts w:asciiTheme="minorHAnsi" w:eastAsiaTheme="minorHAnsi" w:hAnsiTheme="minorHAnsi" w:cs="Arial"/>
          <w:color w:val="1F497D" w:themeColor="text2"/>
          <w:szCs w:val="22"/>
          <w:lang w:eastAsia="en-US"/>
        </w:rPr>
        <w:t xml:space="preserve"> The Goal Chairs are invited to discuss this during their telephone conference on 4</w:t>
      </w:r>
      <w:r w:rsidR="00A606E9" w:rsidRPr="00A606E9">
        <w:rPr>
          <w:rFonts w:asciiTheme="minorHAnsi" w:eastAsiaTheme="minorHAnsi" w:hAnsiTheme="minorHAnsi" w:cs="Arial"/>
          <w:color w:val="1F497D" w:themeColor="text2"/>
          <w:szCs w:val="22"/>
          <w:vertAlign w:val="superscript"/>
          <w:lang w:eastAsia="en-US"/>
        </w:rPr>
        <w:t>th</w:t>
      </w:r>
      <w:r w:rsidR="00A606E9">
        <w:rPr>
          <w:rFonts w:asciiTheme="minorHAnsi" w:eastAsiaTheme="minorHAnsi" w:hAnsiTheme="minorHAnsi" w:cs="Arial"/>
          <w:color w:val="1F497D" w:themeColor="text2"/>
          <w:szCs w:val="22"/>
          <w:lang w:eastAsia="en-US"/>
        </w:rPr>
        <w:t xml:space="preserve"> July 2017.</w:t>
      </w:r>
    </w:p>
    <w:p w:rsidR="00EA4F7C" w:rsidRPr="0007436C" w:rsidRDefault="00EA4F7C" w:rsidP="00EA4F7C">
      <w:pPr>
        <w:pStyle w:val="Heading3"/>
        <w:rPr>
          <w:rFonts w:eastAsiaTheme="minorHAnsi"/>
          <w:color w:val="1F497D" w:themeColor="text2"/>
        </w:rPr>
      </w:pPr>
      <w:r w:rsidRPr="0007436C">
        <w:rPr>
          <w:rFonts w:eastAsiaTheme="minorHAnsi"/>
          <w:color w:val="1F497D" w:themeColor="text2"/>
        </w:rPr>
        <w:t>Due Process</w:t>
      </w:r>
    </w:p>
    <w:p w:rsidR="006C0845" w:rsidRPr="005A066C" w:rsidRDefault="0022235F" w:rsidP="0020233A">
      <w:pPr>
        <w:pStyle w:val="Para1"/>
        <w:rPr>
          <w:rFonts w:cs="Arial"/>
        </w:rPr>
      </w:pPr>
      <w:r w:rsidRPr="0022235F">
        <w:rPr>
          <w:rFonts w:asciiTheme="minorHAnsi" w:eastAsiaTheme="minorHAnsi" w:hAnsiTheme="minorHAnsi" w:cs="Arial"/>
          <w:color w:val="1F497D" w:themeColor="text2"/>
          <w:szCs w:val="22"/>
          <w:lang w:eastAsia="en-US"/>
        </w:rPr>
        <w:t>After approval of the endorsement version by FIPP, it “</w:t>
      </w:r>
      <w:r w:rsidRPr="0022235F">
        <w:rPr>
          <w:rFonts w:asciiTheme="minorHAnsi" w:eastAsiaTheme="minorHAnsi" w:hAnsiTheme="minorHAnsi" w:cs="Arial"/>
          <w:i/>
          <w:color w:val="1F497D" w:themeColor="text2"/>
          <w:szCs w:val="22"/>
          <w:lang w:eastAsia="en-US"/>
        </w:rPr>
        <w:t xml:space="preserve">is displayed on </w:t>
      </w:r>
      <w:hyperlink r:id="rId9" w:history="1">
        <w:r w:rsidRPr="0022235F">
          <w:rPr>
            <w:rStyle w:val="Hyperlink"/>
            <w:rFonts w:asciiTheme="minorHAnsi" w:eastAsiaTheme="minorHAnsi" w:hAnsiTheme="minorHAnsi" w:cs="Arial"/>
            <w:i/>
            <w:szCs w:val="22"/>
            <w:lang w:eastAsia="en-US"/>
          </w:rPr>
          <w:t>www.issai.org</w:t>
        </w:r>
      </w:hyperlink>
      <w:r w:rsidRPr="0022235F">
        <w:rPr>
          <w:rFonts w:asciiTheme="minorHAnsi" w:eastAsiaTheme="minorHAnsi" w:hAnsiTheme="minorHAnsi" w:cs="Arial"/>
          <w:i/>
          <w:color w:val="1F497D" w:themeColor="text2"/>
          <w:szCs w:val="22"/>
          <w:lang w:eastAsia="en-US"/>
        </w:rPr>
        <w:t xml:space="preserve"> together with communications </w:t>
      </w:r>
      <w:r w:rsidRPr="0022235F">
        <w:rPr>
          <w:rFonts w:asciiTheme="minorHAnsi" w:eastAsiaTheme="minorHAnsi" w:hAnsiTheme="minorHAnsi" w:cs="Arial"/>
          <w:b/>
          <w:i/>
          <w:color w:val="1F497D" w:themeColor="text2"/>
          <w:szCs w:val="22"/>
          <w:lang w:eastAsia="en-US"/>
        </w:rPr>
        <w:t>on the effective date</w:t>
      </w:r>
      <w:r w:rsidRPr="0022235F">
        <w:rPr>
          <w:rFonts w:asciiTheme="minorHAnsi" w:eastAsiaTheme="minorHAnsi" w:hAnsiTheme="minorHAnsi" w:cs="Arial"/>
          <w:i/>
          <w:color w:val="1F497D" w:themeColor="text2"/>
          <w:szCs w:val="22"/>
          <w:lang w:eastAsia="en-US"/>
        </w:rPr>
        <w:t xml:space="preserve"> </w:t>
      </w:r>
      <w:r w:rsidR="0007436C">
        <w:rPr>
          <w:rFonts w:asciiTheme="minorHAnsi" w:eastAsiaTheme="minorHAnsi" w:hAnsiTheme="minorHAnsi" w:cs="Arial"/>
          <w:i/>
          <w:color w:val="1F497D" w:themeColor="text2"/>
          <w:szCs w:val="22"/>
          <w:lang w:eastAsia="en-US"/>
        </w:rPr>
        <w:t>[</w:t>
      </w:r>
      <w:r w:rsidR="0007436C" w:rsidRPr="0007436C">
        <w:rPr>
          <w:rFonts w:asciiTheme="minorHAnsi" w:eastAsiaTheme="minorHAnsi" w:hAnsiTheme="minorHAnsi" w:cs="Arial"/>
          <w:i/>
          <w:color w:val="1F497D" w:themeColor="text2"/>
          <w:sz w:val="18"/>
          <w:szCs w:val="18"/>
          <w:lang w:eastAsia="en-US"/>
        </w:rPr>
        <w:t>our emphasis</w:t>
      </w:r>
      <w:r w:rsidR="0007436C">
        <w:rPr>
          <w:rFonts w:asciiTheme="minorHAnsi" w:eastAsiaTheme="minorHAnsi" w:hAnsiTheme="minorHAnsi" w:cs="Arial"/>
          <w:i/>
          <w:color w:val="1F497D" w:themeColor="text2"/>
          <w:szCs w:val="22"/>
          <w:lang w:eastAsia="en-US"/>
        </w:rPr>
        <w:t xml:space="preserve">] </w:t>
      </w:r>
      <w:r w:rsidRPr="0022235F">
        <w:rPr>
          <w:rFonts w:asciiTheme="minorHAnsi" w:eastAsiaTheme="minorHAnsi" w:hAnsiTheme="minorHAnsi" w:cs="Arial"/>
          <w:i/>
          <w:color w:val="1F497D" w:themeColor="text2"/>
          <w:szCs w:val="22"/>
          <w:lang w:eastAsia="en-US"/>
        </w:rPr>
        <w:t xml:space="preserve">and the considerations of the working group regarding </w:t>
      </w:r>
      <w:r w:rsidRPr="0022235F">
        <w:rPr>
          <w:rFonts w:asciiTheme="minorHAnsi" w:eastAsiaTheme="minorHAnsi" w:hAnsiTheme="minorHAnsi" w:cs="Arial"/>
          <w:i/>
          <w:color w:val="1F497D" w:themeColor="text2"/>
          <w:szCs w:val="22"/>
          <w:lang w:eastAsia="en-US"/>
        </w:rPr>
        <w:lastRenderedPageBreak/>
        <w:t>the comments received through the exposure period as well as the conclusions drawn by FIPP as basis for the approval</w:t>
      </w:r>
      <w:r w:rsidRPr="0022235F">
        <w:rPr>
          <w:rFonts w:asciiTheme="minorHAnsi" w:eastAsiaTheme="minorHAnsi" w:hAnsiTheme="minorHAnsi" w:cs="Arial"/>
          <w:color w:val="1F497D" w:themeColor="text2"/>
          <w:szCs w:val="22"/>
          <w:lang w:eastAsia="en-US"/>
        </w:rPr>
        <w:t>.”</w:t>
      </w:r>
      <w:r>
        <w:rPr>
          <w:rStyle w:val="FootnoteReference"/>
          <w:rFonts w:eastAsiaTheme="minorHAnsi" w:cs="Arial"/>
          <w:color w:val="1F497D" w:themeColor="text2"/>
          <w:szCs w:val="22"/>
          <w:lang w:eastAsia="en-US"/>
        </w:rPr>
        <w:footnoteReference w:id="1"/>
      </w:r>
      <w:r>
        <w:rPr>
          <w:rFonts w:asciiTheme="minorHAnsi" w:eastAsiaTheme="minorHAnsi" w:hAnsiTheme="minorHAnsi" w:cs="Arial"/>
          <w:color w:val="1F497D" w:themeColor="text2"/>
          <w:szCs w:val="22"/>
          <w:lang w:eastAsia="en-US"/>
        </w:rPr>
        <w:t xml:space="preserve"> It can thus be seen that the working group includes the effective date in the package of materials</w:t>
      </w:r>
      <w:r w:rsidR="005A066C">
        <w:rPr>
          <w:rFonts w:asciiTheme="minorHAnsi" w:eastAsiaTheme="minorHAnsi" w:hAnsiTheme="minorHAnsi" w:cs="Arial"/>
          <w:color w:val="1F497D" w:themeColor="text2"/>
          <w:szCs w:val="22"/>
          <w:lang w:eastAsia="en-US"/>
        </w:rPr>
        <w:t xml:space="preserve"> destined for publication</w:t>
      </w:r>
      <w:r>
        <w:rPr>
          <w:rFonts w:asciiTheme="minorHAnsi" w:eastAsiaTheme="minorHAnsi" w:hAnsiTheme="minorHAnsi" w:cs="Arial"/>
          <w:color w:val="1F497D" w:themeColor="text2"/>
          <w:szCs w:val="22"/>
          <w:lang w:eastAsia="en-US"/>
        </w:rPr>
        <w:t xml:space="preserve"> that accompanies the endorsement</w:t>
      </w:r>
      <w:r w:rsidR="005A066C">
        <w:rPr>
          <w:rFonts w:asciiTheme="minorHAnsi" w:eastAsiaTheme="minorHAnsi" w:hAnsiTheme="minorHAnsi" w:cs="Arial"/>
          <w:color w:val="1F497D" w:themeColor="text2"/>
          <w:szCs w:val="22"/>
          <w:lang w:eastAsia="en-US"/>
        </w:rPr>
        <w:t xml:space="preserve"> version sent to FIPP for approval.</w:t>
      </w:r>
    </w:p>
    <w:p w:rsidR="005A066C" w:rsidRDefault="005A066C" w:rsidP="0020233A">
      <w:pPr>
        <w:pStyle w:val="Para1"/>
        <w:rPr>
          <w:rFonts w:asciiTheme="minorHAnsi" w:eastAsiaTheme="minorHAnsi" w:hAnsiTheme="minorHAnsi" w:cs="Arial"/>
          <w:color w:val="1F497D" w:themeColor="text2"/>
          <w:szCs w:val="22"/>
          <w:lang w:eastAsia="en-US"/>
        </w:rPr>
      </w:pPr>
      <w:r w:rsidRPr="005A066C">
        <w:rPr>
          <w:rFonts w:asciiTheme="minorHAnsi" w:eastAsiaTheme="minorHAnsi" w:hAnsiTheme="minorHAnsi" w:cs="Arial"/>
          <w:color w:val="1F497D" w:themeColor="text2"/>
          <w:szCs w:val="22"/>
          <w:lang w:eastAsia="en-US"/>
        </w:rPr>
        <w:t>Under stage 4 of Due Process, “</w:t>
      </w:r>
      <w:r w:rsidRPr="005A066C">
        <w:rPr>
          <w:rFonts w:asciiTheme="minorHAnsi" w:eastAsiaTheme="minorHAnsi" w:hAnsiTheme="minorHAnsi" w:cs="Arial"/>
          <w:i/>
          <w:color w:val="1F497D" w:themeColor="text2"/>
          <w:szCs w:val="22"/>
          <w:lang w:eastAsia="en-US"/>
        </w:rPr>
        <w:t>New pronouncements become part of INTOSAI’s framework of professional pronouncements on the date they take effect, and are subsequently referred as ISSAIs or other official INTOSAI pronouncements as defined by the classification principles</w:t>
      </w:r>
      <w:r w:rsidRPr="005A066C">
        <w:rPr>
          <w:rFonts w:asciiTheme="minorHAnsi" w:eastAsiaTheme="minorHAnsi" w:hAnsiTheme="minorHAnsi" w:cs="Arial"/>
          <w:color w:val="1F497D" w:themeColor="text2"/>
          <w:szCs w:val="22"/>
          <w:lang w:eastAsia="en-US"/>
        </w:rPr>
        <w:t>”.</w:t>
      </w:r>
    </w:p>
    <w:p w:rsidR="005A066C" w:rsidRDefault="005A066C" w:rsidP="0020233A">
      <w:pPr>
        <w:pStyle w:val="Para1"/>
        <w:rPr>
          <w:rFonts w:asciiTheme="minorHAnsi" w:eastAsiaTheme="minorHAnsi" w:hAnsiTheme="minorHAnsi" w:cs="Arial"/>
          <w:color w:val="1F497D" w:themeColor="text2"/>
          <w:szCs w:val="22"/>
          <w:lang w:eastAsia="en-US"/>
        </w:rPr>
      </w:pPr>
      <w:r>
        <w:rPr>
          <w:rFonts w:asciiTheme="minorHAnsi" w:eastAsiaTheme="minorHAnsi" w:hAnsiTheme="minorHAnsi" w:cs="Arial"/>
          <w:color w:val="1F497D" w:themeColor="text2"/>
          <w:szCs w:val="22"/>
          <w:lang w:eastAsia="en-US"/>
        </w:rPr>
        <w:t>Due process is explicit on the effective date, stating at the end of the same paragraph “</w:t>
      </w:r>
      <w:r w:rsidRPr="005A066C">
        <w:rPr>
          <w:rFonts w:asciiTheme="minorHAnsi" w:eastAsiaTheme="minorHAnsi" w:hAnsiTheme="minorHAnsi" w:cs="Arial"/>
          <w:i/>
          <w:color w:val="1F497D" w:themeColor="text2"/>
          <w:szCs w:val="22"/>
          <w:lang w:eastAsia="en-US"/>
        </w:rPr>
        <w:t>A pronouncement cannot take effect before the Governing Board has considered the endorsement version and decided to refer it to I</w:t>
      </w:r>
      <w:r>
        <w:rPr>
          <w:rFonts w:asciiTheme="minorHAnsi" w:eastAsiaTheme="minorHAnsi" w:hAnsiTheme="minorHAnsi" w:cs="Arial"/>
          <w:i/>
          <w:color w:val="1F497D" w:themeColor="text2"/>
          <w:szCs w:val="22"/>
          <w:lang w:eastAsia="en-US"/>
        </w:rPr>
        <w:t>N</w:t>
      </w:r>
      <w:r w:rsidR="0007436C">
        <w:rPr>
          <w:rFonts w:asciiTheme="minorHAnsi" w:eastAsiaTheme="minorHAnsi" w:hAnsiTheme="minorHAnsi" w:cs="Arial"/>
          <w:i/>
          <w:color w:val="1F497D" w:themeColor="text2"/>
          <w:szCs w:val="22"/>
          <w:lang w:eastAsia="en-US"/>
        </w:rPr>
        <w:t>COSAI for endorsement</w:t>
      </w:r>
      <w:r>
        <w:rPr>
          <w:rFonts w:asciiTheme="minorHAnsi" w:eastAsiaTheme="minorHAnsi" w:hAnsiTheme="minorHAnsi" w:cs="Arial"/>
          <w:color w:val="1F497D" w:themeColor="text2"/>
          <w:szCs w:val="22"/>
          <w:lang w:eastAsia="en-US"/>
        </w:rPr>
        <w:t>”</w:t>
      </w:r>
      <w:r w:rsidR="0007436C">
        <w:rPr>
          <w:rFonts w:asciiTheme="minorHAnsi" w:eastAsiaTheme="minorHAnsi" w:hAnsiTheme="minorHAnsi" w:cs="Arial"/>
          <w:color w:val="1F497D" w:themeColor="text2"/>
          <w:szCs w:val="22"/>
          <w:lang w:eastAsia="en-US"/>
        </w:rPr>
        <w:t>.</w:t>
      </w:r>
    </w:p>
    <w:p w:rsidR="005A066C" w:rsidRDefault="005A066C" w:rsidP="0020233A">
      <w:pPr>
        <w:pStyle w:val="Para1"/>
        <w:rPr>
          <w:rFonts w:asciiTheme="minorHAnsi" w:eastAsiaTheme="minorHAnsi" w:hAnsiTheme="minorHAnsi" w:cs="Arial"/>
          <w:color w:val="1F497D" w:themeColor="text2"/>
          <w:szCs w:val="22"/>
          <w:lang w:eastAsia="en-US"/>
        </w:rPr>
      </w:pPr>
      <w:r>
        <w:rPr>
          <w:rFonts w:asciiTheme="minorHAnsi" w:eastAsiaTheme="minorHAnsi" w:hAnsiTheme="minorHAnsi" w:cs="Arial"/>
          <w:color w:val="1F497D" w:themeColor="text2"/>
          <w:szCs w:val="22"/>
          <w:lang w:eastAsia="en-US"/>
        </w:rPr>
        <w:t>Due Process has nothing to say about the effective date and final endorsement by INCOSAI. The only reference to the act of final endorsement is the following: “</w:t>
      </w:r>
      <w:r w:rsidR="0007436C" w:rsidRPr="0007436C">
        <w:rPr>
          <w:rFonts w:asciiTheme="minorHAnsi" w:eastAsiaTheme="minorHAnsi" w:hAnsiTheme="minorHAnsi" w:cs="Arial"/>
          <w:i/>
          <w:color w:val="1F497D" w:themeColor="text2"/>
          <w:szCs w:val="22"/>
          <w:lang w:eastAsia="en-US"/>
        </w:rPr>
        <w:t>INCOSAI endorses the final pronouncements in INTOSAI’s framework of professional pronouncements</w:t>
      </w:r>
      <w:r w:rsidR="0007436C">
        <w:rPr>
          <w:rFonts w:asciiTheme="minorHAnsi" w:eastAsiaTheme="minorHAnsi" w:hAnsiTheme="minorHAnsi" w:cs="Arial"/>
          <w:color w:val="1F497D" w:themeColor="text2"/>
          <w:szCs w:val="22"/>
          <w:lang w:eastAsia="en-US"/>
        </w:rPr>
        <w:t>”.</w:t>
      </w:r>
    </w:p>
    <w:p w:rsidR="00415712" w:rsidRPr="00BC2096" w:rsidRDefault="00415712" w:rsidP="00415712">
      <w:pPr>
        <w:pStyle w:val="Heading3"/>
        <w:rPr>
          <w:rFonts w:eastAsiaTheme="minorHAnsi"/>
          <w:color w:val="1F497D" w:themeColor="text2"/>
        </w:rPr>
      </w:pPr>
      <w:r w:rsidRPr="00BC2096">
        <w:rPr>
          <w:rFonts w:eastAsiaTheme="minorHAnsi"/>
          <w:color w:val="1F497D" w:themeColor="text2"/>
        </w:rPr>
        <w:t>INTOSAI Statutes</w:t>
      </w:r>
    </w:p>
    <w:p w:rsidR="00415712" w:rsidRPr="00BC2096" w:rsidRDefault="00415712" w:rsidP="00415712">
      <w:pPr>
        <w:pStyle w:val="Para1"/>
        <w:rPr>
          <w:rFonts w:eastAsiaTheme="minorHAnsi"/>
          <w:color w:val="1F497D" w:themeColor="text2"/>
          <w:lang w:eastAsia="en-US"/>
        </w:rPr>
      </w:pPr>
      <w:r w:rsidRPr="00415712">
        <w:rPr>
          <w:rFonts w:asciiTheme="minorHAnsi" w:eastAsiaTheme="minorHAnsi" w:hAnsiTheme="minorHAnsi" w:cs="Arial"/>
          <w:color w:val="1F497D" w:themeColor="text2"/>
          <w:szCs w:val="22"/>
          <w:lang w:eastAsia="en-US"/>
        </w:rPr>
        <w:t>The INTOSAI Statutes do not explicitly refer to the process of endorsing professional pronouncements. The relevant sections are Article 4, paragraph 5, sub-paragraphs  e) and f), which state respectively:</w:t>
      </w:r>
    </w:p>
    <w:tbl>
      <w:tblPr>
        <w:tblStyle w:val="TableGrid"/>
        <w:tblW w:w="0" w:type="auto"/>
        <w:tblInd w:w="534" w:type="dxa"/>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tblLook w:val="04A0" w:firstRow="1" w:lastRow="0" w:firstColumn="1" w:lastColumn="0" w:noHBand="0" w:noVBand="1"/>
      </w:tblPr>
      <w:tblGrid>
        <w:gridCol w:w="850"/>
        <w:gridCol w:w="8471"/>
      </w:tblGrid>
      <w:tr w:rsidR="00BC2096" w:rsidRPr="00BC2096" w:rsidTr="00BC2096">
        <w:tc>
          <w:tcPr>
            <w:tcW w:w="9321" w:type="dxa"/>
            <w:gridSpan w:val="2"/>
          </w:tcPr>
          <w:p w:rsidR="00415712" w:rsidRPr="00BC2096" w:rsidRDefault="00415712" w:rsidP="00BC2096">
            <w:pPr>
              <w:pStyle w:val="Para1"/>
              <w:numPr>
                <w:ilvl w:val="0"/>
                <w:numId w:val="0"/>
              </w:numPr>
              <w:spacing w:line="240" w:lineRule="auto"/>
              <w:rPr>
                <w:rFonts w:eastAsiaTheme="minorHAnsi"/>
                <w:color w:val="1F497D" w:themeColor="text2"/>
                <w:lang w:eastAsia="en-US"/>
              </w:rPr>
            </w:pPr>
            <w:r w:rsidRPr="00BC2096">
              <w:rPr>
                <w:rFonts w:eastAsiaTheme="minorHAnsi"/>
                <w:color w:val="1F497D" w:themeColor="text2"/>
                <w:lang w:eastAsia="en-US"/>
              </w:rPr>
              <w:t>Article 4: Congress</w:t>
            </w:r>
          </w:p>
          <w:p w:rsidR="00415712" w:rsidRPr="00BC2096" w:rsidRDefault="00415712" w:rsidP="00BC2096">
            <w:pPr>
              <w:pStyle w:val="Para1"/>
              <w:numPr>
                <w:ilvl w:val="0"/>
                <w:numId w:val="0"/>
              </w:numPr>
              <w:spacing w:line="240" w:lineRule="auto"/>
              <w:rPr>
                <w:rFonts w:eastAsiaTheme="minorHAnsi"/>
                <w:color w:val="1F497D" w:themeColor="text2"/>
                <w:lang w:eastAsia="en-US"/>
              </w:rPr>
            </w:pPr>
            <w:r w:rsidRPr="00BC2096">
              <w:rPr>
                <w:rFonts w:eastAsiaTheme="minorHAnsi"/>
                <w:color w:val="1F497D" w:themeColor="text2"/>
                <w:lang w:eastAsia="en-US"/>
              </w:rPr>
              <w:t>5)   The tasks of Congress are:</w:t>
            </w:r>
            <w:r w:rsidRPr="00BC2096">
              <w:rPr>
                <w:rFonts w:eastAsiaTheme="minorHAnsi"/>
                <w:color w:val="1F497D" w:themeColor="text2"/>
                <w:lang w:eastAsia="en-US"/>
              </w:rPr>
              <w:br/>
              <w:t xml:space="preserve">       …</w:t>
            </w:r>
          </w:p>
        </w:tc>
      </w:tr>
      <w:tr w:rsidR="00BC2096" w:rsidRPr="00BC2096" w:rsidTr="00BC2096">
        <w:trPr>
          <w:trHeight w:val="645"/>
        </w:trPr>
        <w:tc>
          <w:tcPr>
            <w:tcW w:w="850" w:type="dxa"/>
          </w:tcPr>
          <w:p w:rsidR="00415712" w:rsidRPr="00BC2096" w:rsidRDefault="00BC2096" w:rsidP="00415712">
            <w:pPr>
              <w:pStyle w:val="Para1"/>
              <w:numPr>
                <w:ilvl w:val="0"/>
                <w:numId w:val="0"/>
              </w:numPr>
              <w:rPr>
                <w:rFonts w:eastAsiaTheme="minorHAnsi"/>
                <w:color w:val="1F497D" w:themeColor="text2"/>
                <w:lang w:eastAsia="en-US"/>
              </w:rPr>
            </w:pPr>
            <w:r>
              <w:rPr>
                <w:rFonts w:eastAsiaTheme="minorHAnsi"/>
                <w:color w:val="1F497D" w:themeColor="text2"/>
                <w:lang w:eastAsia="en-US"/>
              </w:rPr>
              <w:t xml:space="preserve">      </w:t>
            </w:r>
            <w:r w:rsidR="00415712" w:rsidRPr="00BC2096">
              <w:rPr>
                <w:rFonts w:eastAsiaTheme="minorHAnsi"/>
                <w:color w:val="1F497D" w:themeColor="text2"/>
                <w:lang w:eastAsia="en-US"/>
              </w:rPr>
              <w:t>e)</w:t>
            </w:r>
          </w:p>
        </w:tc>
        <w:tc>
          <w:tcPr>
            <w:tcW w:w="8471" w:type="dxa"/>
          </w:tcPr>
          <w:p w:rsidR="00415712" w:rsidRPr="00BC2096" w:rsidRDefault="00BC2096" w:rsidP="00BC2096">
            <w:pPr>
              <w:pStyle w:val="Para1"/>
              <w:numPr>
                <w:ilvl w:val="0"/>
                <w:numId w:val="0"/>
              </w:numPr>
              <w:spacing w:line="240" w:lineRule="auto"/>
              <w:rPr>
                <w:rFonts w:eastAsiaTheme="minorHAnsi"/>
                <w:color w:val="1F497D" w:themeColor="text2"/>
                <w:lang w:eastAsia="en-US"/>
              </w:rPr>
            </w:pPr>
            <w:r w:rsidRPr="00BC2096">
              <w:rPr>
                <w:rFonts w:eastAsiaTheme="minorHAnsi"/>
                <w:color w:val="1F497D" w:themeColor="text2"/>
                <w:lang w:eastAsia="en-US"/>
              </w:rPr>
              <w:t>to endorse Due Process for INTOSAI’s Framework of Professional Pronouncements – Procedures for developing, revising and withdrawing the International Standards of Supreme Audit Institutions (ISSAIs) and other pronouncements on www.issai.org;</w:t>
            </w:r>
          </w:p>
        </w:tc>
      </w:tr>
      <w:tr w:rsidR="00BC2096" w:rsidRPr="00BC2096" w:rsidTr="00BC2096">
        <w:trPr>
          <w:trHeight w:val="645"/>
        </w:trPr>
        <w:tc>
          <w:tcPr>
            <w:tcW w:w="850" w:type="dxa"/>
          </w:tcPr>
          <w:p w:rsidR="00415712" w:rsidRPr="00BC2096" w:rsidRDefault="006E4BFB" w:rsidP="00415712">
            <w:pPr>
              <w:pStyle w:val="Para1"/>
              <w:numPr>
                <w:ilvl w:val="0"/>
                <w:numId w:val="0"/>
              </w:numPr>
              <w:rPr>
                <w:rFonts w:eastAsiaTheme="minorHAnsi"/>
                <w:color w:val="1F497D" w:themeColor="text2"/>
                <w:lang w:eastAsia="en-US"/>
              </w:rPr>
            </w:pPr>
            <w:r>
              <w:rPr>
                <w:rFonts w:eastAsiaTheme="minorHAnsi"/>
                <w:color w:val="1F497D" w:themeColor="text2"/>
                <w:lang w:eastAsia="en-US"/>
              </w:rPr>
              <w:t xml:space="preserve">       </w:t>
            </w:r>
            <w:r w:rsidR="00415712" w:rsidRPr="00BC2096">
              <w:rPr>
                <w:rFonts w:eastAsiaTheme="minorHAnsi"/>
                <w:color w:val="1F497D" w:themeColor="text2"/>
                <w:lang w:eastAsia="en-US"/>
              </w:rPr>
              <w:t>f)</w:t>
            </w:r>
          </w:p>
        </w:tc>
        <w:tc>
          <w:tcPr>
            <w:tcW w:w="8471" w:type="dxa"/>
          </w:tcPr>
          <w:p w:rsidR="00415712" w:rsidRPr="00BC2096" w:rsidRDefault="00BC2096" w:rsidP="00BC2096">
            <w:pPr>
              <w:pStyle w:val="Para1"/>
              <w:numPr>
                <w:ilvl w:val="0"/>
                <w:numId w:val="0"/>
              </w:numPr>
              <w:spacing w:line="240" w:lineRule="auto"/>
              <w:rPr>
                <w:rFonts w:eastAsiaTheme="minorHAnsi"/>
                <w:color w:val="1F497D" w:themeColor="text2"/>
                <w:lang w:eastAsia="en-US"/>
              </w:rPr>
            </w:pPr>
            <w:r w:rsidRPr="00BC2096">
              <w:rPr>
                <w:rFonts w:eastAsiaTheme="minorHAnsi"/>
                <w:color w:val="1F497D" w:themeColor="text2"/>
                <w:lang w:eastAsia="en-US"/>
              </w:rPr>
              <w:t>to deal with all matters brought before the Congress by the Governing Board;</w:t>
            </w:r>
          </w:p>
        </w:tc>
      </w:tr>
    </w:tbl>
    <w:p w:rsidR="0007436C" w:rsidRPr="0007436C" w:rsidRDefault="006E4BFB" w:rsidP="0007436C">
      <w:pPr>
        <w:pStyle w:val="Heading3"/>
        <w:rPr>
          <w:rFonts w:eastAsiaTheme="minorHAnsi"/>
          <w:color w:val="1F497D" w:themeColor="text2"/>
        </w:rPr>
      </w:pPr>
      <w:r>
        <w:rPr>
          <w:rFonts w:eastAsiaTheme="minorHAnsi"/>
          <w:b w:val="0"/>
          <w:color w:val="1F497D" w:themeColor="text2"/>
        </w:rPr>
        <w:br/>
      </w:r>
      <w:r w:rsidRPr="006E4BFB">
        <w:rPr>
          <w:rFonts w:eastAsiaTheme="minorHAnsi"/>
          <w:b w:val="0"/>
          <w:color w:val="1F497D" w:themeColor="text2"/>
        </w:rPr>
        <w:t>Thus, the INTOSAI Statutes have no bearing on this matter.</w:t>
      </w:r>
      <w:r>
        <w:rPr>
          <w:rFonts w:eastAsiaTheme="minorHAnsi"/>
          <w:b w:val="0"/>
          <w:color w:val="1F497D" w:themeColor="text2"/>
        </w:rPr>
        <w:br/>
      </w:r>
      <w:r>
        <w:rPr>
          <w:rFonts w:eastAsiaTheme="minorHAnsi"/>
          <w:color w:val="1F497D" w:themeColor="text2"/>
        </w:rPr>
        <w:br/>
        <w:t>Conclusion</w:t>
      </w:r>
    </w:p>
    <w:p w:rsidR="006E4BFB" w:rsidRDefault="006E4BFB" w:rsidP="0020233A">
      <w:pPr>
        <w:pStyle w:val="Para1"/>
        <w:rPr>
          <w:rFonts w:asciiTheme="minorHAnsi" w:eastAsiaTheme="minorHAnsi" w:hAnsiTheme="minorHAnsi" w:cs="Arial"/>
          <w:color w:val="1F497D" w:themeColor="text2"/>
          <w:szCs w:val="22"/>
          <w:lang w:eastAsia="en-US"/>
        </w:rPr>
      </w:pPr>
      <w:r>
        <w:rPr>
          <w:rFonts w:asciiTheme="minorHAnsi" w:eastAsiaTheme="minorHAnsi" w:hAnsiTheme="minorHAnsi" w:cs="Arial"/>
          <w:color w:val="1F497D" w:themeColor="text2"/>
          <w:szCs w:val="22"/>
          <w:lang w:eastAsia="en-US"/>
        </w:rPr>
        <w:t xml:space="preserve">Due process seems to be quite clear: a pronouncement can have an effective date that is </w:t>
      </w:r>
      <w:r w:rsidR="00C50E7A">
        <w:rPr>
          <w:rFonts w:asciiTheme="minorHAnsi" w:eastAsiaTheme="minorHAnsi" w:hAnsiTheme="minorHAnsi" w:cs="Arial"/>
          <w:color w:val="1F497D" w:themeColor="text2"/>
          <w:szCs w:val="22"/>
          <w:lang w:eastAsia="en-US"/>
        </w:rPr>
        <w:t>subsequent to</w:t>
      </w:r>
      <w:r>
        <w:rPr>
          <w:rFonts w:asciiTheme="minorHAnsi" w:eastAsiaTheme="minorHAnsi" w:hAnsiTheme="minorHAnsi" w:cs="Arial"/>
          <w:color w:val="1F497D" w:themeColor="text2"/>
          <w:szCs w:val="22"/>
          <w:lang w:eastAsia="en-US"/>
        </w:rPr>
        <w:t xml:space="preserve"> the Governing Board’s decision to refer it to Congress for final endorsement, but before that final endorsement. The INTOSAI Statutes are silent on this matter.</w:t>
      </w:r>
    </w:p>
    <w:p w:rsidR="00A606E9" w:rsidRPr="00A606E9" w:rsidRDefault="0007436C" w:rsidP="0020233A">
      <w:pPr>
        <w:pStyle w:val="Para1"/>
        <w:rPr>
          <w:rFonts w:asciiTheme="minorHAnsi" w:eastAsiaTheme="minorHAnsi" w:hAnsiTheme="minorHAnsi" w:cs="Arial"/>
          <w:color w:val="1F497D" w:themeColor="text2"/>
          <w:szCs w:val="22"/>
          <w:lang w:eastAsia="en-US"/>
        </w:rPr>
      </w:pPr>
      <w:r w:rsidRPr="00A606E9">
        <w:rPr>
          <w:rFonts w:asciiTheme="minorHAnsi" w:eastAsiaTheme="minorHAnsi" w:hAnsiTheme="minorHAnsi" w:cs="Arial"/>
          <w:color w:val="1F497D" w:themeColor="text2"/>
          <w:szCs w:val="22"/>
          <w:lang w:eastAsia="en-US"/>
        </w:rPr>
        <w:t>The 2017-2019 strategic development plan is focused around 13 high priority projects needed to put the revised IFPP in place. It is probable that some of the pronouncements produced by these projects</w:t>
      </w:r>
      <w:r w:rsidR="006E4BFB">
        <w:rPr>
          <w:rFonts w:asciiTheme="minorHAnsi" w:eastAsiaTheme="minorHAnsi" w:hAnsiTheme="minorHAnsi" w:cs="Arial"/>
          <w:color w:val="1F497D" w:themeColor="text2"/>
          <w:szCs w:val="22"/>
          <w:lang w:eastAsia="en-US"/>
        </w:rPr>
        <w:t xml:space="preserve"> will</w:t>
      </w:r>
      <w:r w:rsidRPr="00A606E9">
        <w:rPr>
          <w:rFonts w:asciiTheme="minorHAnsi" w:eastAsiaTheme="minorHAnsi" w:hAnsiTheme="minorHAnsi" w:cs="Arial"/>
          <w:color w:val="1F497D" w:themeColor="text2"/>
          <w:szCs w:val="22"/>
          <w:lang w:eastAsia="en-US"/>
        </w:rPr>
        <w:t xml:space="preserve"> </w:t>
      </w:r>
      <w:r w:rsidRPr="00A606E9">
        <w:rPr>
          <w:rFonts w:asciiTheme="minorHAnsi" w:eastAsiaTheme="minorHAnsi" w:hAnsiTheme="minorHAnsi" w:cs="Arial"/>
          <w:color w:val="1F497D" w:themeColor="text2"/>
          <w:szCs w:val="22"/>
          <w:lang w:eastAsia="en-US"/>
        </w:rPr>
        <w:lastRenderedPageBreak/>
        <w:t xml:space="preserve">not be completed in time for endorsement by the 2019 INCOSAI. Under our interpretation of Due Process, these could still </w:t>
      </w:r>
      <w:r w:rsidR="00A606E9" w:rsidRPr="00A606E9">
        <w:rPr>
          <w:rFonts w:asciiTheme="minorHAnsi" w:eastAsiaTheme="minorHAnsi" w:hAnsiTheme="minorHAnsi" w:cs="Arial"/>
          <w:color w:val="1F497D" w:themeColor="text2"/>
          <w:szCs w:val="22"/>
          <w:lang w:eastAsia="en-US"/>
        </w:rPr>
        <w:t>be presented to the 2020 meeting of the Governing Board with an effective date shortly after th</w:t>
      </w:r>
      <w:r w:rsidR="006E4BFB">
        <w:rPr>
          <w:rFonts w:asciiTheme="minorHAnsi" w:eastAsiaTheme="minorHAnsi" w:hAnsiTheme="minorHAnsi" w:cs="Arial"/>
          <w:color w:val="1F497D" w:themeColor="text2"/>
          <w:szCs w:val="22"/>
          <w:lang w:eastAsia="en-US"/>
        </w:rPr>
        <w:t>at</w:t>
      </w:r>
      <w:r w:rsidR="00A606E9" w:rsidRPr="00A606E9">
        <w:rPr>
          <w:rFonts w:asciiTheme="minorHAnsi" w:eastAsiaTheme="minorHAnsi" w:hAnsiTheme="minorHAnsi" w:cs="Arial"/>
          <w:color w:val="1F497D" w:themeColor="text2"/>
          <w:szCs w:val="22"/>
          <w:lang w:eastAsia="en-US"/>
        </w:rPr>
        <w:t xml:space="preserve"> meeting. This would avoid having to wait until the 2022 INCOSAI to complete the migration from the old framework to the new one.</w:t>
      </w:r>
    </w:p>
    <w:sectPr w:rsidR="00A606E9" w:rsidRPr="00A606E9" w:rsidSect="00C162A8">
      <w:headerReference w:type="default" r:id="rId10"/>
      <w:headerReference w:type="first" r:id="rId11"/>
      <w:footerReference w:type="first" r:id="rId12"/>
      <w:endnotePr>
        <w:numFmt w:val="decimal"/>
      </w:endnotePr>
      <w:pgSz w:w="11907" w:h="16840" w:code="9"/>
      <w:pgMar w:top="720" w:right="1134" w:bottom="720" w:left="1134" w:header="34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E1" w:rsidRDefault="00F719E1">
      <w:r>
        <w:separator/>
      </w:r>
    </w:p>
  </w:endnote>
  <w:endnote w:type="continuationSeparator" w:id="0">
    <w:p w:rsidR="00F719E1" w:rsidRDefault="00F7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A8" w:rsidRDefault="00C162A8" w:rsidP="00C162A8">
    <w:pPr>
      <w:tabs>
        <w:tab w:val="left" w:pos="1418"/>
      </w:tabs>
      <w:rPr>
        <w:color w:val="6D91C8"/>
        <w:sz w:val="16"/>
        <w:szCs w:val="16"/>
      </w:rPr>
    </w:pPr>
    <w:r>
      <w:rPr>
        <w:noProof/>
        <w:color w:val="6D91C8"/>
        <w:sz w:val="16"/>
        <w:szCs w:val="16"/>
        <w:lang w:eastAsia="en-GB"/>
      </w:rPr>
      <mc:AlternateContent>
        <mc:Choice Requires="wps">
          <w:drawing>
            <wp:anchor distT="0" distB="0" distL="114300" distR="114300" simplePos="0" relativeHeight="251668480" behindDoc="0" locked="0" layoutInCell="1" allowOverlap="1" wp14:anchorId="4BB7958A" wp14:editId="5CF0B196">
              <wp:simplePos x="0" y="0"/>
              <wp:positionH relativeFrom="column">
                <wp:posOffset>-3810</wp:posOffset>
              </wp:positionH>
              <wp:positionV relativeFrom="paragraph">
                <wp:posOffset>84826</wp:posOffset>
              </wp:positionV>
              <wp:extent cx="6211019"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6211019" cy="0"/>
                      </a:xfrm>
                      <a:prstGeom prst="line">
                        <a:avLst/>
                      </a:prstGeom>
                      <a:ln w="3175">
                        <a:solidFill>
                          <a:srgbClr val="6D91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7pt" to="488.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" strokecolor="#6d91c8" strokeweight=".25pt"/>
          </w:pict>
        </mc:Fallback>
      </mc:AlternateContent>
    </w:r>
  </w:p>
  <w:p w:rsidR="00C162A8" w:rsidRDefault="00C162A8" w:rsidP="00C162A8">
    <w:pPr>
      <w:tabs>
        <w:tab w:val="left" w:pos="1418"/>
      </w:tabs>
      <w:rPr>
        <w:color w:val="6D91C8"/>
        <w:sz w:val="16"/>
        <w:szCs w:val="16"/>
      </w:rPr>
    </w:pPr>
  </w:p>
  <w:p w:rsidR="00C162A8" w:rsidRDefault="00C162A8" w:rsidP="00C162A8">
    <w:pPr>
      <w:tabs>
        <w:tab w:val="left" w:pos="1418"/>
      </w:tabs>
      <w:rPr>
        <w:color w:val="6D91C8"/>
        <w:sz w:val="16"/>
        <w:szCs w:val="16"/>
      </w:rPr>
    </w:pPr>
    <w:r w:rsidRPr="007C7FB6">
      <w:rPr>
        <w:color w:val="6D91C8"/>
        <w:sz w:val="16"/>
        <w:szCs w:val="16"/>
      </w:rPr>
      <w:t>Address for reply:</w:t>
    </w:r>
    <w:r w:rsidRPr="007C7FB6">
      <w:rPr>
        <w:color w:val="6D91C8"/>
        <w:sz w:val="16"/>
        <w:szCs w:val="16"/>
      </w:rPr>
      <w:tab/>
      <w:t>AQC-PSC-VC, European Court of Auditors, 12 rue Alcide De Gasperi, L-1615 Luxembourg</w:t>
    </w:r>
  </w:p>
  <w:p w:rsidR="00C162A8" w:rsidRPr="007C7FB6" w:rsidRDefault="00C162A8" w:rsidP="00C162A8">
    <w:pPr>
      <w:tabs>
        <w:tab w:val="left" w:pos="1418"/>
      </w:tabs>
      <w:rPr>
        <w:rStyle w:val="Hyperlink"/>
        <w:color w:val="6D91C8"/>
        <w:sz w:val="16"/>
        <w:szCs w:val="16"/>
        <w:u w:val="none"/>
      </w:rPr>
    </w:pPr>
    <w:r w:rsidRPr="007C7FB6">
      <w:rPr>
        <w:color w:val="6D91C8"/>
        <w:sz w:val="16"/>
        <w:szCs w:val="16"/>
      </w:rPr>
      <w:t>E-mail:</w:t>
    </w:r>
    <w:r w:rsidRPr="007C7FB6">
      <w:rPr>
        <w:color w:val="6D91C8"/>
        <w:sz w:val="16"/>
        <w:szCs w:val="16"/>
      </w:rPr>
      <w:tab/>
    </w:r>
    <w:hyperlink r:id="rId1" w:history="1">
      <w:r w:rsidRPr="007C7FB6">
        <w:rPr>
          <w:rStyle w:val="Hyperlink"/>
          <w:color w:val="6D91C8"/>
          <w:sz w:val="16"/>
          <w:szCs w:val="16"/>
          <w:u w:val="none"/>
        </w:rPr>
        <w:t>ECA-PSC@eca.europa.eu</w:t>
      </w:r>
    </w:hyperlink>
  </w:p>
  <w:p w:rsidR="00C162A8" w:rsidRPr="00C162A8" w:rsidRDefault="00C162A8" w:rsidP="00C162A8">
    <w:pPr>
      <w:tabs>
        <w:tab w:val="left" w:pos="1418"/>
      </w:tabs>
      <w:rPr>
        <w:color w:val="6D91C8"/>
        <w:sz w:val="16"/>
        <w:szCs w:val="16"/>
      </w:rPr>
    </w:pPr>
    <w:r w:rsidRPr="007C7FB6">
      <w:rPr>
        <w:rStyle w:val="Hyperlink"/>
        <w:color w:val="6D91C8"/>
        <w:sz w:val="16"/>
        <w:szCs w:val="16"/>
        <w:u w:val="none"/>
      </w:rPr>
      <w:t>Telephone:</w:t>
    </w:r>
    <w:r w:rsidRPr="007C7FB6">
      <w:rPr>
        <w:rStyle w:val="Hyperlink"/>
        <w:color w:val="6D91C8"/>
        <w:sz w:val="16"/>
        <w:szCs w:val="16"/>
        <w:u w:val="none"/>
      </w:rPr>
      <w:tab/>
    </w:r>
    <w:r w:rsidRPr="007C7FB6">
      <w:rPr>
        <w:color w:val="6D91C8"/>
        <w:sz w:val="16"/>
        <w:szCs w:val="16"/>
      </w:rPr>
      <w:t>+352 4398 45281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E1" w:rsidRDefault="00F719E1">
      <w:r>
        <w:separator/>
      </w:r>
    </w:p>
  </w:footnote>
  <w:footnote w:type="continuationSeparator" w:id="0">
    <w:p w:rsidR="00F719E1" w:rsidRDefault="00F719E1">
      <w:r>
        <w:continuationSeparator/>
      </w:r>
    </w:p>
  </w:footnote>
  <w:footnote w:id="1">
    <w:p w:rsidR="0022235F" w:rsidRPr="0022235F" w:rsidRDefault="0022235F">
      <w:pPr>
        <w:pStyle w:val="FootnoteText"/>
        <w:rPr>
          <w:rFonts w:asciiTheme="minorHAnsi" w:hAnsiTheme="minorHAnsi" w:cstheme="minorHAnsi"/>
          <w:sz w:val="18"/>
          <w:szCs w:val="18"/>
        </w:rPr>
      </w:pPr>
      <w:r w:rsidRPr="00A606E9">
        <w:rPr>
          <w:rStyle w:val="FootnoteReference"/>
          <w:rFonts w:asciiTheme="minorHAnsi" w:hAnsiTheme="minorHAnsi" w:cstheme="minorHAnsi"/>
          <w:color w:val="1F497D" w:themeColor="text2"/>
          <w:sz w:val="18"/>
          <w:szCs w:val="18"/>
        </w:rPr>
        <w:footnoteRef/>
      </w:r>
      <w:r w:rsidRPr="00A606E9">
        <w:rPr>
          <w:rFonts w:asciiTheme="minorHAnsi" w:hAnsiTheme="minorHAnsi" w:cstheme="minorHAnsi"/>
          <w:color w:val="1F497D" w:themeColor="text2"/>
          <w:sz w:val="18"/>
          <w:szCs w:val="18"/>
        </w:rPr>
        <w:tab/>
        <w:t>All quotations are from page 9 of the English version of Due Process</w:t>
      </w:r>
      <w:r w:rsidRPr="0022235F">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A5" w:rsidRPr="00FB4AA2" w:rsidRDefault="007B6AA5" w:rsidP="008775E0">
    <w:pPr>
      <w:tabs>
        <w:tab w:val="center" w:pos="4395"/>
        <w:tab w:val="right" w:pos="8789"/>
      </w:tabs>
      <w:jc w:val="center"/>
      <w:rPr>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A8" w:rsidRDefault="00C162A8">
    <w:pPr>
      <w:pStyle w:val="Header"/>
    </w:pPr>
    <w:r w:rsidRPr="00C162A8">
      <w:rPr>
        <w:noProof/>
      </w:rPr>
      <w:drawing>
        <wp:anchor distT="0" distB="396240" distL="114300" distR="114300" simplePos="0" relativeHeight="251665408" behindDoc="1" locked="0" layoutInCell="1" allowOverlap="1" wp14:anchorId="4AC07135" wp14:editId="53C3E6C7">
          <wp:simplePos x="0" y="0"/>
          <wp:positionH relativeFrom="column">
            <wp:posOffset>13335</wp:posOffset>
          </wp:positionH>
          <wp:positionV relativeFrom="paragraph">
            <wp:posOffset>155575</wp:posOffset>
          </wp:positionV>
          <wp:extent cx="3305175" cy="52641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SC Secretari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5175" cy="526415"/>
                  </a:xfrm>
                  <a:prstGeom prst="rect">
                    <a:avLst/>
                  </a:prstGeom>
                </pic:spPr>
              </pic:pic>
            </a:graphicData>
          </a:graphic>
          <wp14:sizeRelH relativeFrom="page">
            <wp14:pctWidth>0</wp14:pctWidth>
          </wp14:sizeRelH>
          <wp14:sizeRelV relativeFrom="page">
            <wp14:pctHeight>0</wp14:pctHeight>
          </wp14:sizeRelV>
        </wp:anchor>
      </w:drawing>
    </w:r>
    <w:r w:rsidRPr="00C162A8">
      <w:rPr>
        <w:noProof/>
      </w:rPr>
      <mc:AlternateContent>
        <mc:Choice Requires="wps">
          <w:drawing>
            <wp:anchor distT="0" distB="0" distL="114300" distR="114300" simplePos="0" relativeHeight="251666432" behindDoc="0" locked="0" layoutInCell="1" allowOverlap="1" wp14:anchorId="55BAAFD3" wp14:editId="75F81EBF">
              <wp:simplePos x="0" y="0"/>
              <wp:positionH relativeFrom="column">
                <wp:posOffset>3693160</wp:posOffset>
              </wp:positionH>
              <wp:positionV relativeFrom="paragraph">
                <wp:posOffset>251460</wp:posOffset>
              </wp:positionV>
              <wp:extent cx="2374265" cy="1403985"/>
              <wp:effectExtent l="0" t="0" r="889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162A8" w:rsidRPr="00C6673F" w:rsidRDefault="00C162A8" w:rsidP="00C162A8">
                          <w:pPr>
                            <w:jc w:val="right"/>
                            <w:rPr>
                              <w:sz w:val="20"/>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8pt;margin-top:19.8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" stroked="f">
              <v:textbox style="mso-fit-shape-to-text:t" inset="0,0,0,0">
                <w:txbxContent>
                  <w:p w:rsidR="00C162A8" w:rsidRPr="00C6673F" w:rsidRDefault="00C162A8" w:rsidP="00C162A8">
                    <w:pPr>
                      <w:jc w:val="right"/>
                      <w:rPr>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4">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num w:numId="1">
    <w:abstractNumId w:val="1"/>
  </w:num>
  <w:num w:numId="2">
    <w:abstractNumId w:val="5"/>
  </w:num>
  <w:num w:numId="3">
    <w:abstractNumId w:val="0"/>
  </w:num>
  <w:num w:numId="4">
    <w:abstractNumId w:val="4"/>
  </w:num>
  <w:num w:numId="5">
    <w:abstractNumId w:val="3"/>
  </w:num>
  <w:num w:numId="6">
    <w:abstractNumId w:val="3"/>
  </w:num>
  <w:num w:numId="7">
    <w:abstractNumId w:val="5"/>
  </w:num>
  <w:num w:numId="8">
    <w:abstractNumId w:val="1"/>
  </w:num>
  <w:num w:numId="9">
    <w:abstractNumId w:val="4"/>
  </w:num>
  <w:num w:numId="10">
    <w:abstractNumId w:val="4"/>
  </w:num>
  <w:num w:numId="11">
    <w:abstractNumId w:val="3"/>
  </w:num>
  <w:num w:numId="12">
    <w:abstractNumId w:val="3"/>
  </w:num>
  <w:num w:numId="13">
    <w:abstractNumId w:val="3"/>
  </w:num>
  <w:num w:numId="14">
    <w:abstractNumId w:val="3"/>
  </w:num>
  <w:num w:numId="15">
    <w:abstractNumId w:val="3"/>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E0"/>
    <w:rsid w:val="00001E0E"/>
    <w:rsid w:val="00017499"/>
    <w:rsid w:val="0002782F"/>
    <w:rsid w:val="00033158"/>
    <w:rsid w:val="00066644"/>
    <w:rsid w:val="00066961"/>
    <w:rsid w:val="000701C2"/>
    <w:rsid w:val="0007070B"/>
    <w:rsid w:val="0007436C"/>
    <w:rsid w:val="00075EF4"/>
    <w:rsid w:val="00076AD6"/>
    <w:rsid w:val="00082C1D"/>
    <w:rsid w:val="00096BB0"/>
    <w:rsid w:val="000B47B1"/>
    <w:rsid w:val="000C2A0F"/>
    <w:rsid w:val="000E5215"/>
    <w:rsid w:val="000E71D4"/>
    <w:rsid w:val="000F3FF2"/>
    <w:rsid w:val="000F7744"/>
    <w:rsid w:val="001043BE"/>
    <w:rsid w:val="00126AF1"/>
    <w:rsid w:val="001311EC"/>
    <w:rsid w:val="00144DED"/>
    <w:rsid w:val="00155764"/>
    <w:rsid w:val="00157947"/>
    <w:rsid w:val="0016350D"/>
    <w:rsid w:val="00163A61"/>
    <w:rsid w:val="00166B26"/>
    <w:rsid w:val="00180C75"/>
    <w:rsid w:val="00191440"/>
    <w:rsid w:val="00195607"/>
    <w:rsid w:val="00197108"/>
    <w:rsid w:val="00197A0F"/>
    <w:rsid w:val="001A1AE0"/>
    <w:rsid w:val="001C0C0D"/>
    <w:rsid w:val="001C43A6"/>
    <w:rsid w:val="001C7BBD"/>
    <w:rsid w:val="001D3A2F"/>
    <w:rsid w:val="001E5A5E"/>
    <w:rsid w:val="001F0F2A"/>
    <w:rsid w:val="001F24D3"/>
    <w:rsid w:val="001F3A1C"/>
    <w:rsid w:val="00201AC2"/>
    <w:rsid w:val="0020233A"/>
    <w:rsid w:val="0021469F"/>
    <w:rsid w:val="0022235F"/>
    <w:rsid w:val="00236787"/>
    <w:rsid w:val="002368EC"/>
    <w:rsid w:val="002745E0"/>
    <w:rsid w:val="00284473"/>
    <w:rsid w:val="002B5CBB"/>
    <w:rsid w:val="002C249D"/>
    <w:rsid w:val="002D1765"/>
    <w:rsid w:val="002F4969"/>
    <w:rsid w:val="00310056"/>
    <w:rsid w:val="00314A66"/>
    <w:rsid w:val="00320DEF"/>
    <w:rsid w:val="00321D5F"/>
    <w:rsid w:val="00334600"/>
    <w:rsid w:val="00335FCF"/>
    <w:rsid w:val="00337F91"/>
    <w:rsid w:val="003512F2"/>
    <w:rsid w:val="0035613B"/>
    <w:rsid w:val="00357574"/>
    <w:rsid w:val="00361E51"/>
    <w:rsid w:val="00371E27"/>
    <w:rsid w:val="0037229D"/>
    <w:rsid w:val="0037723B"/>
    <w:rsid w:val="00380867"/>
    <w:rsid w:val="00382CBE"/>
    <w:rsid w:val="00383F14"/>
    <w:rsid w:val="00384BF1"/>
    <w:rsid w:val="00387148"/>
    <w:rsid w:val="00396225"/>
    <w:rsid w:val="003D1051"/>
    <w:rsid w:val="003D7FD3"/>
    <w:rsid w:val="003E4296"/>
    <w:rsid w:val="003F2DC4"/>
    <w:rsid w:val="0040092E"/>
    <w:rsid w:val="00414289"/>
    <w:rsid w:val="00415712"/>
    <w:rsid w:val="0041580F"/>
    <w:rsid w:val="00431480"/>
    <w:rsid w:val="00431E1E"/>
    <w:rsid w:val="00443908"/>
    <w:rsid w:val="00466B33"/>
    <w:rsid w:val="00467897"/>
    <w:rsid w:val="00471928"/>
    <w:rsid w:val="004744FE"/>
    <w:rsid w:val="00474B90"/>
    <w:rsid w:val="00484432"/>
    <w:rsid w:val="004A179E"/>
    <w:rsid w:val="004A78D3"/>
    <w:rsid w:val="004C685B"/>
    <w:rsid w:val="004D070C"/>
    <w:rsid w:val="004D1BD2"/>
    <w:rsid w:val="004D5D60"/>
    <w:rsid w:val="004F4356"/>
    <w:rsid w:val="00510CD4"/>
    <w:rsid w:val="00512F86"/>
    <w:rsid w:val="00522C19"/>
    <w:rsid w:val="0052749A"/>
    <w:rsid w:val="0057383A"/>
    <w:rsid w:val="005761C3"/>
    <w:rsid w:val="00577361"/>
    <w:rsid w:val="0057770D"/>
    <w:rsid w:val="00581787"/>
    <w:rsid w:val="00585E19"/>
    <w:rsid w:val="00591212"/>
    <w:rsid w:val="005A066C"/>
    <w:rsid w:val="005A2375"/>
    <w:rsid w:val="005B0339"/>
    <w:rsid w:val="005B64B1"/>
    <w:rsid w:val="005B74D6"/>
    <w:rsid w:val="005B7FE9"/>
    <w:rsid w:val="005C162C"/>
    <w:rsid w:val="005D2BB4"/>
    <w:rsid w:val="005E6BD1"/>
    <w:rsid w:val="005F7041"/>
    <w:rsid w:val="005F73A4"/>
    <w:rsid w:val="006025B4"/>
    <w:rsid w:val="00612B8B"/>
    <w:rsid w:val="006576B1"/>
    <w:rsid w:val="0066365E"/>
    <w:rsid w:val="00664AC5"/>
    <w:rsid w:val="006728AB"/>
    <w:rsid w:val="0068004E"/>
    <w:rsid w:val="00692FAB"/>
    <w:rsid w:val="006A38F3"/>
    <w:rsid w:val="006A749D"/>
    <w:rsid w:val="006A7E19"/>
    <w:rsid w:val="006B06E0"/>
    <w:rsid w:val="006B39C3"/>
    <w:rsid w:val="006B762C"/>
    <w:rsid w:val="006C0845"/>
    <w:rsid w:val="006E4BFB"/>
    <w:rsid w:val="006F7B9F"/>
    <w:rsid w:val="007025B3"/>
    <w:rsid w:val="007067B1"/>
    <w:rsid w:val="007149FF"/>
    <w:rsid w:val="00715D85"/>
    <w:rsid w:val="007500FF"/>
    <w:rsid w:val="00752A1D"/>
    <w:rsid w:val="00763F6C"/>
    <w:rsid w:val="00766C01"/>
    <w:rsid w:val="00766F1D"/>
    <w:rsid w:val="007809E5"/>
    <w:rsid w:val="00786C04"/>
    <w:rsid w:val="00792202"/>
    <w:rsid w:val="007A7D9C"/>
    <w:rsid w:val="007B46AD"/>
    <w:rsid w:val="007B69B2"/>
    <w:rsid w:val="007B6AA5"/>
    <w:rsid w:val="007C0C24"/>
    <w:rsid w:val="007C3DC6"/>
    <w:rsid w:val="007C486D"/>
    <w:rsid w:val="007C753F"/>
    <w:rsid w:val="007C7587"/>
    <w:rsid w:val="007C7FB6"/>
    <w:rsid w:val="007D1D86"/>
    <w:rsid w:val="007D3E3A"/>
    <w:rsid w:val="007F2775"/>
    <w:rsid w:val="007F6E22"/>
    <w:rsid w:val="00802645"/>
    <w:rsid w:val="00815FB5"/>
    <w:rsid w:val="0082185F"/>
    <w:rsid w:val="008245FA"/>
    <w:rsid w:val="0082750A"/>
    <w:rsid w:val="00834560"/>
    <w:rsid w:val="00846C5F"/>
    <w:rsid w:val="008476F3"/>
    <w:rsid w:val="00862C7A"/>
    <w:rsid w:val="00864FEE"/>
    <w:rsid w:val="00874873"/>
    <w:rsid w:val="008775E0"/>
    <w:rsid w:val="008826C9"/>
    <w:rsid w:val="00882B14"/>
    <w:rsid w:val="00886C8F"/>
    <w:rsid w:val="00892D53"/>
    <w:rsid w:val="008A743A"/>
    <w:rsid w:val="008B04FE"/>
    <w:rsid w:val="008B3A1D"/>
    <w:rsid w:val="008B5248"/>
    <w:rsid w:val="008C3152"/>
    <w:rsid w:val="008C650D"/>
    <w:rsid w:val="008D524E"/>
    <w:rsid w:val="008D69E2"/>
    <w:rsid w:val="008D7EAF"/>
    <w:rsid w:val="008E589D"/>
    <w:rsid w:val="008F3DA2"/>
    <w:rsid w:val="008F6CBE"/>
    <w:rsid w:val="00905CBB"/>
    <w:rsid w:val="00916F36"/>
    <w:rsid w:val="009322DD"/>
    <w:rsid w:val="009350FF"/>
    <w:rsid w:val="009434ED"/>
    <w:rsid w:val="00952F70"/>
    <w:rsid w:val="00957F65"/>
    <w:rsid w:val="009668E2"/>
    <w:rsid w:val="009701A3"/>
    <w:rsid w:val="009712D4"/>
    <w:rsid w:val="009809F7"/>
    <w:rsid w:val="00983F21"/>
    <w:rsid w:val="00987C94"/>
    <w:rsid w:val="00994576"/>
    <w:rsid w:val="009A5FE0"/>
    <w:rsid w:val="009B54B3"/>
    <w:rsid w:val="009C0B70"/>
    <w:rsid w:val="009C7952"/>
    <w:rsid w:val="009D0858"/>
    <w:rsid w:val="009D13E7"/>
    <w:rsid w:val="009D3D40"/>
    <w:rsid w:val="009E16A1"/>
    <w:rsid w:val="009F4E46"/>
    <w:rsid w:val="009F605C"/>
    <w:rsid w:val="00A0313B"/>
    <w:rsid w:val="00A060D0"/>
    <w:rsid w:val="00A12EBB"/>
    <w:rsid w:val="00A14070"/>
    <w:rsid w:val="00A20091"/>
    <w:rsid w:val="00A27DA0"/>
    <w:rsid w:val="00A55185"/>
    <w:rsid w:val="00A56A8A"/>
    <w:rsid w:val="00A606E9"/>
    <w:rsid w:val="00A7026C"/>
    <w:rsid w:val="00A70B94"/>
    <w:rsid w:val="00A718DC"/>
    <w:rsid w:val="00A74AD4"/>
    <w:rsid w:val="00A837C7"/>
    <w:rsid w:val="00A86F77"/>
    <w:rsid w:val="00A970AF"/>
    <w:rsid w:val="00AC0B63"/>
    <w:rsid w:val="00AD7EEE"/>
    <w:rsid w:val="00AE0487"/>
    <w:rsid w:val="00AE4C1F"/>
    <w:rsid w:val="00AF5125"/>
    <w:rsid w:val="00AF5E96"/>
    <w:rsid w:val="00B05653"/>
    <w:rsid w:val="00B12E78"/>
    <w:rsid w:val="00B16F64"/>
    <w:rsid w:val="00B202A2"/>
    <w:rsid w:val="00B33797"/>
    <w:rsid w:val="00B42A7C"/>
    <w:rsid w:val="00B46280"/>
    <w:rsid w:val="00B46E7C"/>
    <w:rsid w:val="00B578C7"/>
    <w:rsid w:val="00B60BBA"/>
    <w:rsid w:val="00B6407C"/>
    <w:rsid w:val="00B643E6"/>
    <w:rsid w:val="00B73216"/>
    <w:rsid w:val="00B77ECB"/>
    <w:rsid w:val="00B832CD"/>
    <w:rsid w:val="00B9643C"/>
    <w:rsid w:val="00BA0002"/>
    <w:rsid w:val="00BA19A7"/>
    <w:rsid w:val="00BB64D2"/>
    <w:rsid w:val="00BC2096"/>
    <w:rsid w:val="00BE4D42"/>
    <w:rsid w:val="00C07F0A"/>
    <w:rsid w:val="00C1013A"/>
    <w:rsid w:val="00C13FF8"/>
    <w:rsid w:val="00C162A8"/>
    <w:rsid w:val="00C30EBC"/>
    <w:rsid w:val="00C31106"/>
    <w:rsid w:val="00C3400E"/>
    <w:rsid w:val="00C3492B"/>
    <w:rsid w:val="00C37980"/>
    <w:rsid w:val="00C41664"/>
    <w:rsid w:val="00C502A8"/>
    <w:rsid w:val="00C50E7A"/>
    <w:rsid w:val="00C6183A"/>
    <w:rsid w:val="00C6673F"/>
    <w:rsid w:val="00C66B2D"/>
    <w:rsid w:val="00C90A84"/>
    <w:rsid w:val="00CB037E"/>
    <w:rsid w:val="00CB2631"/>
    <w:rsid w:val="00CB3A7F"/>
    <w:rsid w:val="00CC0892"/>
    <w:rsid w:val="00CD0458"/>
    <w:rsid w:val="00CD2D97"/>
    <w:rsid w:val="00CE13C8"/>
    <w:rsid w:val="00CF15E5"/>
    <w:rsid w:val="00CF3A7F"/>
    <w:rsid w:val="00CF7968"/>
    <w:rsid w:val="00D127D4"/>
    <w:rsid w:val="00D13AC2"/>
    <w:rsid w:val="00D13F50"/>
    <w:rsid w:val="00D22D2E"/>
    <w:rsid w:val="00D25BB2"/>
    <w:rsid w:val="00D32204"/>
    <w:rsid w:val="00D40CF5"/>
    <w:rsid w:val="00D40DF4"/>
    <w:rsid w:val="00D4539A"/>
    <w:rsid w:val="00D47223"/>
    <w:rsid w:val="00D54BA4"/>
    <w:rsid w:val="00D57575"/>
    <w:rsid w:val="00D57D2F"/>
    <w:rsid w:val="00D6095C"/>
    <w:rsid w:val="00DA33E1"/>
    <w:rsid w:val="00DC1F3A"/>
    <w:rsid w:val="00DC6B95"/>
    <w:rsid w:val="00E10A86"/>
    <w:rsid w:val="00E11CD2"/>
    <w:rsid w:val="00E123BA"/>
    <w:rsid w:val="00E22E89"/>
    <w:rsid w:val="00E2526B"/>
    <w:rsid w:val="00E252C1"/>
    <w:rsid w:val="00E25F3D"/>
    <w:rsid w:val="00E31BCD"/>
    <w:rsid w:val="00E4023F"/>
    <w:rsid w:val="00E428B1"/>
    <w:rsid w:val="00E5491C"/>
    <w:rsid w:val="00E62D8B"/>
    <w:rsid w:val="00E67FFC"/>
    <w:rsid w:val="00E75449"/>
    <w:rsid w:val="00E75FC9"/>
    <w:rsid w:val="00E80123"/>
    <w:rsid w:val="00E86DBD"/>
    <w:rsid w:val="00E916E1"/>
    <w:rsid w:val="00E91CBD"/>
    <w:rsid w:val="00EA341B"/>
    <w:rsid w:val="00EA4F7C"/>
    <w:rsid w:val="00EC69B8"/>
    <w:rsid w:val="00ED4D79"/>
    <w:rsid w:val="00ED72D3"/>
    <w:rsid w:val="00EE1377"/>
    <w:rsid w:val="00EE198B"/>
    <w:rsid w:val="00F24BD6"/>
    <w:rsid w:val="00F264AA"/>
    <w:rsid w:val="00F34300"/>
    <w:rsid w:val="00F36692"/>
    <w:rsid w:val="00F36B24"/>
    <w:rsid w:val="00F37E1A"/>
    <w:rsid w:val="00F47945"/>
    <w:rsid w:val="00F57EDF"/>
    <w:rsid w:val="00F6018A"/>
    <w:rsid w:val="00F6428E"/>
    <w:rsid w:val="00F66959"/>
    <w:rsid w:val="00F672B7"/>
    <w:rsid w:val="00F676B1"/>
    <w:rsid w:val="00F719E1"/>
    <w:rsid w:val="00F77C91"/>
    <w:rsid w:val="00F81CEC"/>
    <w:rsid w:val="00F85EB8"/>
    <w:rsid w:val="00FA2F6A"/>
    <w:rsid w:val="00FB4AA2"/>
    <w:rsid w:val="00FB6771"/>
    <w:rsid w:val="00FC0165"/>
    <w:rsid w:val="00FC53CA"/>
    <w:rsid w:val="00FD2EFF"/>
    <w:rsid w:val="00FD62C1"/>
    <w:rsid w:val="00FD7CCA"/>
    <w:rsid w:val="00FF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CB"/>
    <w:rPr>
      <w:rFonts w:asciiTheme="minorHAnsi" w:eastAsiaTheme="minorHAnsi" w:hAnsiTheme="minorHAnsi" w:cstheme="minorBidi"/>
      <w:color w:val="1F497D" w:themeColor="text2"/>
      <w:sz w:val="18"/>
      <w:szCs w:val="22"/>
      <w:lang w:eastAsia="en-US"/>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line="360" w:lineRule="auto"/>
      <w:outlineLvl w:val="5"/>
    </w:pPr>
    <w:rPr>
      <w:rFonts w:ascii="Times New Roman" w:eastAsia="Times New Roman" w:hAnsi="Times New Roman" w:cs="Times New Roman"/>
      <w:i/>
      <w:color w:val="auto"/>
      <w:sz w:val="22"/>
      <w:szCs w:val="20"/>
      <w:lang w:eastAsia="en-GB"/>
    </w:rPr>
  </w:style>
  <w:style w:type="paragraph" w:styleId="Heading7">
    <w:name w:val="heading 7"/>
    <w:basedOn w:val="Normal"/>
    <w:next w:val="Normal"/>
    <w:qFormat/>
    <w:rsid w:val="008B3A1D"/>
    <w:pPr>
      <w:keepNext/>
      <w:numPr>
        <w:ilvl w:val="6"/>
        <w:numId w:val="10"/>
      </w:numPr>
      <w:tabs>
        <w:tab w:val="right" w:pos="8789"/>
      </w:tabs>
      <w:suppressAutoHyphens/>
      <w:spacing w:after="240" w:line="360" w:lineRule="auto"/>
      <w:outlineLvl w:val="6"/>
    </w:pPr>
    <w:rPr>
      <w:rFonts w:ascii="Times New Roman" w:eastAsia="Times New Roman" w:hAnsi="Times New Roman" w:cs="Times New Roman"/>
      <w:i/>
      <w:color w:val="auto"/>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rsid w:val="008B3A1D"/>
    <w:pPr>
      <w:tabs>
        <w:tab w:val="center" w:pos="4153"/>
        <w:tab w:val="right" w:pos="8306"/>
      </w:tabs>
    </w:pPr>
    <w:rPr>
      <w:sz w:val="20"/>
    </w:rPr>
  </w:style>
  <w:style w:type="character" w:customStyle="1" w:styleId="FooterChar">
    <w:name w:val="Footer Char"/>
    <w:basedOn w:val="DefaultParagraphFont"/>
    <w:link w:val="Footer"/>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after="240"/>
    </w:pPr>
    <w:rPr>
      <w:rFonts w:ascii="Calibri" w:eastAsia="Times New Roman" w:hAnsi="Calibri" w:cs="Times New Roman"/>
      <w:color w:val="auto"/>
      <w:sz w:val="22"/>
      <w:szCs w:val="20"/>
      <w:lang w:eastAsia="en-GB"/>
    </w:r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paragraph" w:styleId="BalloonText">
    <w:name w:val="Balloon Text"/>
    <w:basedOn w:val="Normal"/>
    <w:link w:val="BalloonTextChar"/>
    <w:uiPriority w:val="99"/>
    <w:semiHidden/>
    <w:unhideWhenUsed/>
    <w:rsid w:val="008775E0"/>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8775E0"/>
    <w:rPr>
      <w:rFonts w:ascii="Tahoma" w:hAnsi="Tahoma" w:cs="Tahoma"/>
      <w:sz w:val="16"/>
      <w:szCs w:val="16"/>
    </w:rPr>
  </w:style>
  <w:style w:type="character" w:styleId="Hyperlink">
    <w:name w:val="Hyperlink"/>
    <w:basedOn w:val="DefaultParagraphFont"/>
    <w:uiPriority w:val="99"/>
    <w:unhideWhenUsed/>
    <w:rsid w:val="008775E0"/>
    <w:rPr>
      <w:color w:val="0000FF" w:themeColor="hyperlink"/>
      <w:u w:val="single"/>
    </w:rPr>
  </w:style>
  <w:style w:type="table" w:styleId="TableGrid">
    <w:name w:val="Table Grid"/>
    <w:basedOn w:val="TableNormal"/>
    <w:uiPriority w:val="59"/>
    <w:rsid w:val="00E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CB"/>
    <w:rPr>
      <w:rFonts w:asciiTheme="minorHAnsi" w:eastAsiaTheme="minorHAnsi" w:hAnsiTheme="minorHAnsi" w:cstheme="minorBidi"/>
      <w:color w:val="1F497D" w:themeColor="text2"/>
      <w:sz w:val="18"/>
      <w:szCs w:val="22"/>
      <w:lang w:eastAsia="en-US"/>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line="360" w:lineRule="auto"/>
      <w:outlineLvl w:val="5"/>
    </w:pPr>
    <w:rPr>
      <w:rFonts w:ascii="Times New Roman" w:eastAsia="Times New Roman" w:hAnsi="Times New Roman" w:cs="Times New Roman"/>
      <w:i/>
      <w:color w:val="auto"/>
      <w:sz w:val="22"/>
      <w:szCs w:val="20"/>
      <w:lang w:eastAsia="en-GB"/>
    </w:rPr>
  </w:style>
  <w:style w:type="paragraph" w:styleId="Heading7">
    <w:name w:val="heading 7"/>
    <w:basedOn w:val="Normal"/>
    <w:next w:val="Normal"/>
    <w:qFormat/>
    <w:rsid w:val="008B3A1D"/>
    <w:pPr>
      <w:keepNext/>
      <w:numPr>
        <w:ilvl w:val="6"/>
        <w:numId w:val="10"/>
      </w:numPr>
      <w:tabs>
        <w:tab w:val="right" w:pos="8789"/>
      </w:tabs>
      <w:suppressAutoHyphens/>
      <w:spacing w:after="240" w:line="360" w:lineRule="auto"/>
      <w:outlineLvl w:val="6"/>
    </w:pPr>
    <w:rPr>
      <w:rFonts w:ascii="Times New Roman" w:eastAsia="Times New Roman" w:hAnsi="Times New Roman" w:cs="Times New Roman"/>
      <w:i/>
      <w:color w:val="auto"/>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rsid w:val="008B3A1D"/>
    <w:pPr>
      <w:tabs>
        <w:tab w:val="center" w:pos="4153"/>
        <w:tab w:val="right" w:pos="8306"/>
      </w:tabs>
    </w:pPr>
    <w:rPr>
      <w:sz w:val="20"/>
    </w:rPr>
  </w:style>
  <w:style w:type="character" w:customStyle="1" w:styleId="FooterChar">
    <w:name w:val="Footer Char"/>
    <w:basedOn w:val="DefaultParagraphFont"/>
    <w:link w:val="Footer"/>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after="240"/>
    </w:pPr>
    <w:rPr>
      <w:rFonts w:ascii="Calibri" w:eastAsia="Times New Roman" w:hAnsi="Calibri" w:cs="Times New Roman"/>
      <w:color w:val="auto"/>
      <w:sz w:val="22"/>
      <w:szCs w:val="20"/>
      <w:lang w:eastAsia="en-GB"/>
    </w:r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paragraph" w:styleId="BalloonText">
    <w:name w:val="Balloon Text"/>
    <w:basedOn w:val="Normal"/>
    <w:link w:val="BalloonTextChar"/>
    <w:uiPriority w:val="99"/>
    <w:semiHidden/>
    <w:unhideWhenUsed/>
    <w:rsid w:val="008775E0"/>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8775E0"/>
    <w:rPr>
      <w:rFonts w:ascii="Tahoma" w:hAnsi="Tahoma" w:cs="Tahoma"/>
      <w:sz w:val="16"/>
      <w:szCs w:val="16"/>
    </w:rPr>
  </w:style>
  <w:style w:type="character" w:styleId="Hyperlink">
    <w:name w:val="Hyperlink"/>
    <w:basedOn w:val="DefaultParagraphFont"/>
    <w:uiPriority w:val="99"/>
    <w:unhideWhenUsed/>
    <w:rsid w:val="008775E0"/>
    <w:rPr>
      <w:color w:val="0000FF" w:themeColor="hyperlink"/>
      <w:u w:val="single"/>
    </w:rPr>
  </w:style>
  <w:style w:type="table" w:styleId="TableGrid">
    <w:name w:val="Table Grid"/>
    <w:basedOn w:val="TableNormal"/>
    <w:uiPriority w:val="59"/>
    <w:rsid w:val="00E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sai.org"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ECA-PSC@ec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B16CCE3C424174936E78DA07EA1C11"/>
        <w:category>
          <w:name w:val="General"/>
          <w:gallery w:val="placeholder"/>
        </w:category>
        <w:types>
          <w:type w:val="bbPlcHdr"/>
        </w:types>
        <w:behaviors>
          <w:behavior w:val="content"/>
        </w:behaviors>
        <w:guid w:val="{B009ACCD-319A-458F-A0FD-270E74D05D74}"/>
      </w:docPartPr>
      <w:docPartBody>
        <w:p w:rsidR="00ED297A" w:rsidRDefault="00E71311" w:rsidP="00E71311">
          <w:pPr>
            <w:pStyle w:val="5FB16CCE3C424174936E78DA07EA1C11"/>
          </w:pPr>
          <w:r w:rsidRPr="00A35D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11"/>
    <w:rsid w:val="00373C2F"/>
    <w:rsid w:val="005B4715"/>
    <w:rsid w:val="0073564C"/>
    <w:rsid w:val="009921C1"/>
    <w:rsid w:val="00B00A01"/>
    <w:rsid w:val="00D6121C"/>
    <w:rsid w:val="00D864E7"/>
    <w:rsid w:val="00E364B9"/>
    <w:rsid w:val="00E71311"/>
    <w:rsid w:val="00ED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64C"/>
    <w:rPr>
      <w:color w:val="808080"/>
    </w:rPr>
  </w:style>
  <w:style w:type="paragraph" w:customStyle="1" w:styleId="1751CCFFDA91423FBDEBFEC4067DDEE4">
    <w:name w:val="1751CCFFDA91423FBDEBFEC4067DDEE4"/>
    <w:rsid w:val="00E71311"/>
  </w:style>
  <w:style w:type="paragraph" w:customStyle="1" w:styleId="5FB16CCE3C424174936E78DA07EA1C11">
    <w:name w:val="5FB16CCE3C424174936E78DA07EA1C11"/>
    <w:rsid w:val="00E71311"/>
  </w:style>
  <w:style w:type="paragraph" w:customStyle="1" w:styleId="8E60BB21F7564567B481EC70893D980A">
    <w:name w:val="8E60BB21F7564567B481EC70893D980A"/>
    <w:rsid w:val="00E71311"/>
  </w:style>
  <w:style w:type="paragraph" w:customStyle="1" w:styleId="93949AE8ED9A4BEFADE8499E97A77498">
    <w:name w:val="93949AE8ED9A4BEFADE8499E97A77498"/>
    <w:rsid w:val="0073564C"/>
  </w:style>
  <w:style w:type="paragraph" w:customStyle="1" w:styleId="3082902F46424DCA8B0E4006E4447EE9">
    <w:name w:val="3082902F46424DCA8B0E4006E4447EE9"/>
    <w:rsid w:val="007356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64C"/>
    <w:rPr>
      <w:color w:val="808080"/>
    </w:rPr>
  </w:style>
  <w:style w:type="paragraph" w:customStyle="1" w:styleId="1751CCFFDA91423FBDEBFEC4067DDEE4">
    <w:name w:val="1751CCFFDA91423FBDEBFEC4067DDEE4"/>
    <w:rsid w:val="00E71311"/>
  </w:style>
  <w:style w:type="paragraph" w:customStyle="1" w:styleId="5FB16CCE3C424174936E78DA07EA1C11">
    <w:name w:val="5FB16CCE3C424174936E78DA07EA1C11"/>
    <w:rsid w:val="00E71311"/>
  </w:style>
  <w:style w:type="paragraph" w:customStyle="1" w:styleId="8E60BB21F7564567B481EC70893D980A">
    <w:name w:val="8E60BB21F7564567B481EC70893D980A"/>
    <w:rsid w:val="00E71311"/>
  </w:style>
  <w:style w:type="paragraph" w:customStyle="1" w:styleId="93949AE8ED9A4BEFADE8499E97A77498">
    <w:name w:val="93949AE8ED9A4BEFADE8499E97A77498"/>
    <w:rsid w:val="0073564C"/>
  </w:style>
  <w:style w:type="paragraph" w:customStyle="1" w:styleId="3082902F46424DCA8B0E4006E4447EE9">
    <w:name w:val="3082902F46424DCA8B0E4006E4447EE9"/>
    <w:rsid w:val="00735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4ADAD9-64C4-4024-8963-9D9C8087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721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Court of Auditors</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USHER</dc:creator>
  <cp:lastModifiedBy>NEIL USHER</cp:lastModifiedBy>
  <cp:revision>6</cp:revision>
  <cp:lastPrinted>2017-01-13T11:12:00Z</cp:lastPrinted>
  <dcterms:created xsi:type="dcterms:W3CDTF">2017-06-27T10:39:00Z</dcterms:created>
  <dcterms:modified xsi:type="dcterms:W3CDTF">2017-06-28T09:36:00Z</dcterms:modified>
</cp:coreProperties>
</file>