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CB" w:rsidRPr="00806C27" w:rsidRDefault="006207C1" w:rsidP="00AD128D">
      <w:pPr>
        <w:jc w:val="right"/>
        <w:rPr>
          <w:rFonts w:cs="Arial"/>
          <w:sz w:val="22"/>
        </w:rPr>
      </w:pPr>
      <w:r>
        <w:rPr>
          <w:rFonts w:cs="Arial"/>
          <w:sz w:val="22"/>
        </w:rPr>
        <w:t>15</w:t>
      </w:r>
      <w:r w:rsidRPr="000A162C">
        <w:rPr>
          <w:rFonts w:cs="Arial"/>
          <w:sz w:val="22"/>
          <w:vertAlign w:val="superscript"/>
        </w:rPr>
        <w:t>th</w:t>
      </w:r>
      <w:r w:rsidR="00806C27">
        <w:rPr>
          <w:rFonts w:cs="Arial"/>
          <w:sz w:val="22"/>
        </w:rPr>
        <w:t xml:space="preserve"> May </w:t>
      </w:r>
      <w:r w:rsidR="00AD128D" w:rsidRPr="00806C27">
        <w:rPr>
          <w:rFonts w:cs="Arial"/>
          <w:sz w:val="22"/>
        </w:rPr>
        <w:t>2017</w:t>
      </w:r>
    </w:p>
    <w:p w:rsidR="00AD128D" w:rsidRDefault="00AD128D" w:rsidP="00F71E57">
      <w:pPr>
        <w:jc w:val="center"/>
        <w:rPr>
          <w:rFonts w:cs="Arial"/>
          <w:b/>
          <w:sz w:val="24"/>
          <w:szCs w:val="24"/>
        </w:rPr>
      </w:pPr>
    </w:p>
    <w:p w:rsidR="00F71E57" w:rsidRDefault="00F71E57" w:rsidP="00F71E57">
      <w:pPr>
        <w:jc w:val="center"/>
        <w:rPr>
          <w:rFonts w:cs="Arial"/>
          <w:b/>
          <w:sz w:val="24"/>
          <w:szCs w:val="24"/>
        </w:rPr>
      </w:pPr>
      <w:r w:rsidRPr="00F71E57">
        <w:rPr>
          <w:rFonts w:cs="Arial"/>
          <w:b/>
          <w:sz w:val="24"/>
          <w:szCs w:val="24"/>
        </w:rPr>
        <w:t>QUALITY ASSURING INTOSAI PUBLIC GOODS THAT ARE</w:t>
      </w:r>
      <w:r>
        <w:rPr>
          <w:rFonts w:cs="Arial"/>
          <w:b/>
          <w:sz w:val="24"/>
          <w:szCs w:val="24"/>
        </w:rPr>
        <w:br/>
      </w:r>
      <w:r w:rsidRPr="00F71E57">
        <w:rPr>
          <w:rFonts w:cs="Arial"/>
          <w:b/>
          <w:sz w:val="24"/>
          <w:szCs w:val="24"/>
        </w:rPr>
        <w:t>DEVELOPED AND PUBLISHED OUTSIDE DUE PROCESS</w:t>
      </w:r>
    </w:p>
    <w:p w:rsidR="00E06D0C" w:rsidRDefault="00E06D0C" w:rsidP="00F71E57">
      <w:pPr>
        <w:jc w:val="center"/>
        <w:rPr>
          <w:rFonts w:cs="Arial"/>
          <w:b/>
          <w:sz w:val="24"/>
          <w:szCs w:val="24"/>
        </w:rPr>
      </w:pPr>
    </w:p>
    <w:p w:rsidR="00E06D0C" w:rsidRDefault="00E06D0C" w:rsidP="00F71E57">
      <w:pPr>
        <w:jc w:val="center"/>
        <w:rPr>
          <w:rFonts w:cs="Arial"/>
          <w:b/>
          <w:sz w:val="24"/>
          <w:szCs w:val="24"/>
        </w:rPr>
      </w:pPr>
      <w:r>
        <w:rPr>
          <w:rFonts w:cs="Arial"/>
          <w:b/>
          <w:sz w:val="24"/>
          <w:szCs w:val="24"/>
        </w:rPr>
        <w:t>A JOINT PAPER FROM THE INTOSAI GOAL CHAIRS</w:t>
      </w:r>
      <w:r w:rsidR="00C26159">
        <w:rPr>
          <w:rFonts w:cs="Arial"/>
          <w:b/>
          <w:sz w:val="24"/>
          <w:szCs w:val="24"/>
        </w:rPr>
        <w:t xml:space="preserve"> AND</w:t>
      </w:r>
      <w:r>
        <w:rPr>
          <w:rFonts w:cs="Arial"/>
          <w:b/>
          <w:sz w:val="24"/>
          <w:szCs w:val="24"/>
        </w:rPr>
        <w:br/>
        <w:t>THE INTOSAI DEVELOPMENT INITIATIVE (IDI)</w:t>
      </w:r>
    </w:p>
    <w:p w:rsidR="00D90521" w:rsidRDefault="00D90521" w:rsidP="00F71E57">
      <w:pPr>
        <w:jc w:val="center"/>
        <w:rPr>
          <w:rFonts w:cs="Arial"/>
          <w:b/>
          <w:sz w:val="24"/>
          <w:szCs w:val="24"/>
        </w:rPr>
      </w:pPr>
    </w:p>
    <w:p w:rsidR="00F71E57" w:rsidRDefault="00F71E57" w:rsidP="00F71E57">
      <w:pPr>
        <w:jc w:val="center"/>
        <w:rPr>
          <w:rFonts w:cs="Arial"/>
          <w:b/>
          <w:sz w:val="24"/>
          <w:szCs w:val="24"/>
        </w:rPr>
      </w:pPr>
    </w:p>
    <w:p w:rsidR="00F71E57" w:rsidRPr="00D90521" w:rsidRDefault="00F71E57" w:rsidP="00E06D0C">
      <w:pPr>
        <w:pStyle w:val="Para1"/>
        <w:spacing w:line="276" w:lineRule="auto"/>
        <w:rPr>
          <w:color w:val="1F497D" w:themeColor="text2"/>
        </w:rPr>
      </w:pPr>
      <w:r w:rsidRPr="00D90521">
        <w:rPr>
          <w:color w:val="1F497D" w:themeColor="text2"/>
        </w:rPr>
        <w:t>The revision of due process, along with some of the novelties that it introduces, is designed to ensure – amongst other things – that documents that enter the INTOSAI Framework of Professional Pronouncements (IFPP) have been subject to rigorous quality control procedures and are of the highest possible quality. The revised due process includes the following elements:</w:t>
      </w:r>
    </w:p>
    <w:p w:rsidR="00F71E57" w:rsidRPr="00583CB7" w:rsidRDefault="00F71E57" w:rsidP="00583CB7">
      <w:pPr>
        <w:pStyle w:val="Para4"/>
        <w:spacing w:line="276" w:lineRule="auto"/>
        <w:rPr>
          <w:color w:val="1F497D" w:themeColor="text2"/>
        </w:rPr>
      </w:pPr>
      <w:r w:rsidRPr="00583CB7">
        <w:rPr>
          <w:color w:val="1F497D" w:themeColor="text2"/>
        </w:rPr>
        <w:t xml:space="preserve">Quality processes built into </w:t>
      </w:r>
      <w:r w:rsidR="00D90521" w:rsidRPr="00583CB7">
        <w:rPr>
          <w:color w:val="1F497D" w:themeColor="text2"/>
        </w:rPr>
        <w:t>the project proposal;</w:t>
      </w:r>
    </w:p>
    <w:p w:rsidR="00D90521" w:rsidRPr="00583CB7" w:rsidRDefault="00D90521" w:rsidP="00583CB7">
      <w:pPr>
        <w:pStyle w:val="Para4"/>
        <w:spacing w:line="276" w:lineRule="auto"/>
        <w:rPr>
          <w:color w:val="1F497D" w:themeColor="text2"/>
        </w:rPr>
      </w:pPr>
      <w:r w:rsidRPr="00583CB7">
        <w:rPr>
          <w:color w:val="1F497D" w:themeColor="text2"/>
        </w:rPr>
        <w:t>Transparent and open public exposure processes giving all stakeholders the opportunity to comment on the exposure draft;</w:t>
      </w:r>
    </w:p>
    <w:p w:rsidR="00D90521" w:rsidRPr="00583CB7" w:rsidRDefault="00D90521" w:rsidP="00583CB7">
      <w:pPr>
        <w:pStyle w:val="Para4"/>
        <w:spacing w:line="276" w:lineRule="auto"/>
        <w:rPr>
          <w:color w:val="1F497D" w:themeColor="text2"/>
        </w:rPr>
      </w:pPr>
      <w:r w:rsidRPr="00583CB7">
        <w:rPr>
          <w:color w:val="1F497D" w:themeColor="text2"/>
        </w:rPr>
        <w:t>Oversight and approval throughout the process by the Forum for INTOSAI Professional Pronouncements (FIPP)</w:t>
      </w:r>
      <w:r w:rsidR="00583CB7" w:rsidRPr="00583CB7">
        <w:rPr>
          <w:color w:val="1F497D" w:themeColor="text2"/>
        </w:rPr>
        <w:t>;</w:t>
      </w:r>
    </w:p>
    <w:p w:rsidR="00583CB7" w:rsidRPr="00583CB7" w:rsidRDefault="00D90521" w:rsidP="00583CB7">
      <w:pPr>
        <w:pStyle w:val="Para4"/>
        <w:spacing w:line="276" w:lineRule="auto"/>
        <w:rPr>
          <w:color w:val="1F497D" w:themeColor="text2"/>
        </w:rPr>
      </w:pPr>
      <w:r w:rsidRPr="00583CB7">
        <w:rPr>
          <w:color w:val="1F497D" w:themeColor="text2"/>
        </w:rPr>
        <w:t>Assurance from the responsible Goal Chair to the Governing Board that due process has been followed in all aspects.</w:t>
      </w:r>
    </w:p>
    <w:p w:rsidR="00583CB7" w:rsidRPr="00583CB7" w:rsidRDefault="00D90521" w:rsidP="00E06D0C">
      <w:pPr>
        <w:pStyle w:val="Para1"/>
        <w:spacing w:line="276" w:lineRule="auto"/>
      </w:pPr>
      <w:r w:rsidRPr="00583CB7">
        <w:rPr>
          <w:color w:val="1F497D" w:themeColor="text2"/>
        </w:rPr>
        <w:t xml:space="preserve">INTOSAI, its working groups and other constituent organisations produce and make available a wide range of public goods outside the IFPP. </w:t>
      </w:r>
      <w:r w:rsidR="00583CB7" w:rsidRPr="00583CB7">
        <w:rPr>
          <w:color w:val="1F497D" w:themeColor="text2"/>
        </w:rPr>
        <w:t xml:space="preserve">Examples are the SAI PMF and 3i tools available on the IDI website and innumerable guides, checklists and manuals available on the </w:t>
      </w:r>
      <w:r w:rsidR="00E06D0C">
        <w:rPr>
          <w:color w:val="1F497D" w:themeColor="text2"/>
        </w:rPr>
        <w:t>web</w:t>
      </w:r>
      <w:r w:rsidR="00583CB7" w:rsidRPr="00583CB7">
        <w:rPr>
          <w:color w:val="1F497D" w:themeColor="text2"/>
        </w:rPr>
        <w:t>sites of INTOSAI working groups</w:t>
      </w:r>
      <w:r w:rsidR="00E06D0C">
        <w:rPr>
          <w:color w:val="1F497D" w:themeColor="text2"/>
        </w:rPr>
        <w:t xml:space="preserve">. </w:t>
      </w:r>
      <w:r w:rsidR="00583CB7" w:rsidRPr="00583CB7">
        <w:rPr>
          <w:color w:val="1F497D" w:themeColor="text2"/>
        </w:rPr>
        <w:t>These all carry</w:t>
      </w:r>
      <w:r w:rsidR="00E06D0C">
        <w:rPr>
          <w:color w:val="1F497D" w:themeColor="text2"/>
        </w:rPr>
        <w:t xml:space="preserve"> - </w:t>
      </w:r>
      <w:r w:rsidR="00583CB7" w:rsidRPr="00583CB7">
        <w:rPr>
          <w:color w:val="1F497D" w:themeColor="text2"/>
        </w:rPr>
        <w:t>in some way or another</w:t>
      </w:r>
      <w:r w:rsidR="00E06D0C">
        <w:rPr>
          <w:color w:val="1F497D" w:themeColor="text2"/>
        </w:rPr>
        <w:t xml:space="preserve"> -</w:t>
      </w:r>
      <w:r w:rsidR="00583CB7" w:rsidRPr="00583CB7">
        <w:rPr>
          <w:color w:val="1F497D" w:themeColor="text2"/>
        </w:rPr>
        <w:t xml:space="preserve"> the INTOSAI brand, which has two implications:</w:t>
      </w:r>
    </w:p>
    <w:p w:rsidR="00E06D0C" w:rsidRDefault="00E06D0C" w:rsidP="00583CB7">
      <w:pPr>
        <w:pStyle w:val="Para4"/>
        <w:spacing w:line="276" w:lineRule="auto"/>
        <w:rPr>
          <w:color w:val="1F497D" w:themeColor="text2"/>
        </w:rPr>
      </w:pPr>
      <w:r>
        <w:rPr>
          <w:color w:val="1F497D" w:themeColor="text2"/>
        </w:rPr>
        <w:t>Users have the right to expect that these goods have been subjected to appropriate quality assurance procedures and should be informed what these processes were;</w:t>
      </w:r>
    </w:p>
    <w:p w:rsidR="00D90521" w:rsidRPr="00583CB7" w:rsidRDefault="00E06D0C" w:rsidP="00583CB7">
      <w:pPr>
        <w:pStyle w:val="Para4"/>
        <w:spacing w:line="276" w:lineRule="auto"/>
        <w:rPr>
          <w:color w:val="1F497D" w:themeColor="text2"/>
        </w:rPr>
      </w:pPr>
      <w:r>
        <w:rPr>
          <w:color w:val="1F497D" w:themeColor="text2"/>
        </w:rPr>
        <w:t>Public goods that are of poor quality represent a risk to INTOSAI’s reputation.</w:t>
      </w:r>
    </w:p>
    <w:p w:rsidR="00583CB7" w:rsidRDefault="00E06D0C" w:rsidP="00583CB7">
      <w:pPr>
        <w:pStyle w:val="Para1"/>
        <w:spacing w:line="276" w:lineRule="auto"/>
        <w:rPr>
          <w:color w:val="1F497D" w:themeColor="text2"/>
        </w:rPr>
      </w:pPr>
      <w:r>
        <w:rPr>
          <w:color w:val="1F497D" w:themeColor="text2"/>
        </w:rPr>
        <w:t xml:space="preserve">It is quite possible that the introduction of the IFPP and revised due process will lead to an increase in the number of INTOSAI public goods published outside the IFPP. </w:t>
      </w:r>
      <w:r w:rsidR="006F4A6F">
        <w:rPr>
          <w:color w:val="1F497D" w:themeColor="text2"/>
        </w:rPr>
        <w:t xml:space="preserve">This possibility increases the necessity </w:t>
      </w:r>
      <w:r>
        <w:rPr>
          <w:color w:val="1F497D" w:themeColor="text2"/>
        </w:rPr>
        <w:t>to put in place a</w:t>
      </w:r>
      <w:r w:rsidR="00441D69">
        <w:rPr>
          <w:color w:val="1F497D" w:themeColor="text2"/>
        </w:rPr>
        <w:t>n appropriate</w:t>
      </w:r>
      <w:r>
        <w:rPr>
          <w:color w:val="1F497D" w:themeColor="text2"/>
        </w:rPr>
        <w:t xml:space="preserve"> system of quality assurance for these products</w:t>
      </w:r>
      <w:r w:rsidR="00441D69">
        <w:rPr>
          <w:color w:val="1F497D" w:themeColor="text2"/>
        </w:rPr>
        <w:t>, whilst guarding against such a system being excessively costly or bureaucratic. Such a system</w:t>
      </w:r>
      <w:r w:rsidR="00F34ABF">
        <w:rPr>
          <w:color w:val="1F497D" w:themeColor="text2"/>
        </w:rPr>
        <w:t>, which gives rise to a quality assurance statement,</w:t>
      </w:r>
      <w:r w:rsidR="00441D69">
        <w:rPr>
          <w:color w:val="1F497D" w:themeColor="text2"/>
        </w:rPr>
        <w:t xml:space="preserve"> should have the following elements:</w:t>
      </w:r>
    </w:p>
    <w:p w:rsidR="00441D69" w:rsidRDefault="00441D69" w:rsidP="00441D69">
      <w:pPr>
        <w:pStyle w:val="Para4"/>
        <w:spacing w:line="276" w:lineRule="auto"/>
        <w:rPr>
          <w:color w:val="1F497D" w:themeColor="text2"/>
        </w:rPr>
      </w:pPr>
      <w:r>
        <w:rPr>
          <w:color w:val="1F497D" w:themeColor="text2"/>
        </w:rPr>
        <w:lastRenderedPageBreak/>
        <w:t xml:space="preserve">It should recognise that different levels of quality assurance are appropriate for different public goods. </w:t>
      </w:r>
      <w:r w:rsidR="00E84A80">
        <w:rPr>
          <w:color w:val="1F497D" w:themeColor="text2"/>
        </w:rPr>
        <w:t>Three</w:t>
      </w:r>
      <w:r>
        <w:rPr>
          <w:color w:val="1F497D" w:themeColor="text2"/>
        </w:rPr>
        <w:t xml:space="preserve"> such levels might be considered:</w:t>
      </w:r>
    </w:p>
    <w:p w:rsidR="00441D69" w:rsidRPr="006F4A6F" w:rsidRDefault="00441D69" w:rsidP="006F4A6F">
      <w:pPr>
        <w:pStyle w:val="Para5"/>
        <w:spacing w:line="276" w:lineRule="auto"/>
        <w:rPr>
          <w:color w:val="1F497D" w:themeColor="text2"/>
        </w:rPr>
      </w:pPr>
      <w:r w:rsidRPr="006F4A6F">
        <w:rPr>
          <w:color w:val="1F497D" w:themeColor="text2"/>
        </w:rPr>
        <w:t>Products that have been subjected to quality assurance processes  equivalent to INTOSAI due process, including a</w:t>
      </w:r>
      <w:r w:rsidR="00E84A80">
        <w:rPr>
          <w:color w:val="1F497D" w:themeColor="text2"/>
        </w:rPr>
        <w:t>n extended</w:t>
      </w:r>
      <w:r w:rsidRPr="006F4A6F">
        <w:rPr>
          <w:color w:val="1F497D" w:themeColor="text2"/>
        </w:rPr>
        <w:t xml:space="preserve"> period of transparent public exposure</w:t>
      </w:r>
      <w:r w:rsidR="000237DF">
        <w:rPr>
          <w:rStyle w:val="FootnoteReference"/>
          <w:color w:val="1F497D" w:themeColor="text2"/>
        </w:rPr>
        <w:footnoteReference w:id="1"/>
      </w:r>
      <w:r w:rsidRPr="006F4A6F">
        <w:rPr>
          <w:color w:val="1F497D" w:themeColor="text2"/>
        </w:rPr>
        <w:t>;</w:t>
      </w:r>
    </w:p>
    <w:p w:rsidR="00441D69" w:rsidRPr="00CD2128" w:rsidRDefault="00441D69" w:rsidP="003D3760">
      <w:pPr>
        <w:pStyle w:val="Para5"/>
        <w:spacing w:line="276" w:lineRule="auto"/>
        <w:rPr>
          <w:color w:val="1F497D" w:themeColor="text2"/>
        </w:rPr>
      </w:pPr>
      <w:r w:rsidRPr="00CD2128">
        <w:rPr>
          <w:color w:val="1F497D" w:themeColor="text2"/>
        </w:rPr>
        <w:t>Products that have been subjected to more limited quality assurance process</w:t>
      </w:r>
      <w:r w:rsidR="000237DF" w:rsidRPr="00CD2128">
        <w:rPr>
          <w:color w:val="1F497D" w:themeColor="text2"/>
        </w:rPr>
        <w:t xml:space="preserve">es involving </w:t>
      </w:r>
      <w:r w:rsidRPr="00CD2128">
        <w:rPr>
          <w:color w:val="1F497D" w:themeColor="text2"/>
        </w:rPr>
        <w:t xml:space="preserve">stakeholders </w:t>
      </w:r>
      <w:r w:rsidR="00EB25A8" w:rsidRPr="00CD2128">
        <w:rPr>
          <w:color w:val="1F497D" w:themeColor="text2"/>
        </w:rPr>
        <w:t xml:space="preserve">from </w:t>
      </w:r>
      <w:r w:rsidRPr="00CD2128">
        <w:rPr>
          <w:color w:val="1F497D" w:themeColor="text2"/>
        </w:rPr>
        <w:t xml:space="preserve">outside the body or working group </w:t>
      </w:r>
      <w:r w:rsidR="006F4A6F" w:rsidRPr="00CD2128">
        <w:rPr>
          <w:color w:val="1F497D" w:themeColor="text2"/>
        </w:rPr>
        <w:t>responsible for the</w:t>
      </w:r>
      <w:r w:rsidR="00953F9D" w:rsidRPr="00CD2128">
        <w:rPr>
          <w:color w:val="1F497D" w:themeColor="text2"/>
        </w:rPr>
        <w:t xml:space="preserve"> products’ initial</w:t>
      </w:r>
      <w:r w:rsidR="006F4A6F" w:rsidRPr="00CD2128">
        <w:rPr>
          <w:color w:val="1F497D" w:themeColor="text2"/>
        </w:rPr>
        <w:t xml:space="preserve"> development</w:t>
      </w:r>
      <w:r w:rsidR="000237DF" w:rsidRPr="00CD2128">
        <w:rPr>
          <w:color w:val="1F497D" w:themeColor="text2"/>
        </w:rPr>
        <w:t xml:space="preserve">. Quality assurance processes might, for example, include piloting, testing and inviting comments from key stakeholders, although not go as far as full </w:t>
      </w:r>
      <w:r w:rsidR="00EB25A8" w:rsidRPr="00CD2128">
        <w:rPr>
          <w:color w:val="1F497D" w:themeColor="text2"/>
        </w:rPr>
        <w:t>90-day</w:t>
      </w:r>
      <w:r w:rsidR="000237DF" w:rsidRPr="00CD2128">
        <w:rPr>
          <w:color w:val="1F497D" w:themeColor="text2"/>
        </w:rPr>
        <w:t xml:space="preserve"> public exposure</w:t>
      </w:r>
      <w:r w:rsidR="006F4A6F" w:rsidRPr="00CD2128">
        <w:rPr>
          <w:color w:val="1F497D" w:themeColor="text2"/>
        </w:rPr>
        <w:t>;</w:t>
      </w:r>
    </w:p>
    <w:p w:rsidR="006F4A6F" w:rsidRPr="006207C1" w:rsidRDefault="00441D69" w:rsidP="006F4A6F">
      <w:pPr>
        <w:pStyle w:val="Para5"/>
        <w:spacing w:line="276" w:lineRule="auto"/>
        <w:rPr>
          <w:color w:val="1F497D" w:themeColor="text2"/>
        </w:rPr>
      </w:pPr>
      <w:r w:rsidRPr="006207C1">
        <w:rPr>
          <w:color w:val="1F497D" w:themeColor="text2"/>
        </w:rPr>
        <w:t>Products that have been subjected to rigorous quality control measures within the body or working group responsible for their development</w:t>
      </w:r>
      <w:r w:rsidR="006F4A6F" w:rsidRPr="006207C1">
        <w:rPr>
          <w:color w:val="1F497D" w:themeColor="text2"/>
        </w:rPr>
        <w:t>;</w:t>
      </w:r>
    </w:p>
    <w:p w:rsidR="006F4A6F" w:rsidRDefault="008B4D40" w:rsidP="006F4A6F">
      <w:pPr>
        <w:pStyle w:val="Para4"/>
        <w:spacing w:line="276" w:lineRule="auto"/>
        <w:rPr>
          <w:color w:val="1F497D" w:themeColor="text2"/>
        </w:rPr>
      </w:pPr>
      <w:r>
        <w:rPr>
          <w:color w:val="1F497D" w:themeColor="text2"/>
        </w:rPr>
        <w:t>These arrangements would not cover products such as draft documents, works-in-progress, discussion documents, blog postings and similar.</w:t>
      </w:r>
      <w:r w:rsidR="006207C1">
        <w:rPr>
          <w:color w:val="1F497D" w:themeColor="text2"/>
        </w:rPr>
        <w:t xml:space="preserve"> </w:t>
      </w:r>
      <w:r w:rsidR="006F4A6F">
        <w:rPr>
          <w:color w:val="1F497D" w:themeColor="text2"/>
        </w:rPr>
        <w:t xml:space="preserve">It should be transparent. Users of INTOSAI public goods should be able to quickly establish the level of quality assurance to which the product was subjected. A quality assurance statement should appear prominently on or immediately after the cover page of the document. For </w:t>
      </w:r>
      <w:r>
        <w:rPr>
          <w:color w:val="1F497D" w:themeColor="text2"/>
        </w:rPr>
        <w:t>all</w:t>
      </w:r>
      <w:r w:rsidR="006F4A6F">
        <w:rPr>
          <w:color w:val="1F497D" w:themeColor="text2"/>
        </w:rPr>
        <w:t xml:space="preserve"> three levels outlines above, it should become standard practice to publish – as part of the document – an annex succinctly outlining the quality assurance measures that were taken and their outcome.</w:t>
      </w:r>
    </w:p>
    <w:p w:rsidR="006F4A6F" w:rsidRDefault="00F34ABF" w:rsidP="006F4A6F">
      <w:pPr>
        <w:pStyle w:val="Para4"/>
        <w:spacing w:line="276" w:lineRule="auto"/>
        <w:rPr>
          <w:color w:val="1F497D" w:themeColor="text2"/>
        </w:rPr>
      </w:pPr>
      <w:r>
        <w:rPr>
          <w:color w:val="1F497D" w:themeColor="text2"/>
        </w:rPr>
        <w:t>A</w:t>
      </w:r>
      <w:r w:rsidR="006F4A6F">
        <w:rPr>
          <w:color w:val="1F497D" w:themeColor="text2"/>
        </w:rPr>
        <w:t xml:space="preserve">ll public goods carrying the INTOSAI brand name </w:t>
      </w:r>
      <w:r w:rsidR="00C26159">
        <w:rPr>
          <w:color w:val="1F497D" w:themeColor="text2"/>
        </w:rPr>
        <w:t>that originate from the INTOSAI goal chairs, their subcommittees a</w:t>
      </w:r>
      <w:r>
        <w:rPr>
          <w:color w:val="1F497D" w:themeColor="text2"/>
        </w:rPr>
        <w:t>nd working groups, from FIPP or</w:t>
      </w:r>
      <w:r w:rsidR="00C26159">
        <w:rPr>
          <w:color w:val="1F497D" w:themeColor="text2"/>
        </w:rPr>
        <w:t xml:space="preserve"> from IDI</w:t>
      </w:r>
      <w:r>
        <w:rPr>
          <w:color w:val="1F497D" w:themeColor="text2"/>
        </w:rPr>
        <w:t xml:space="preserve"> should be accompanied by a statement of </w:t>
      </w:r>
      <w:bookmarkStart w:id="0" w:name="_GoBack"/>
      <w:bookmarkEnd w:id="0"/>
      <w:r>
        <w:rPr>
          <w:color w:val="1F497D" w:themeColor="text2"/>
        </w:rPr>
        <w:t>quality assurance</w:t>
      </w:r>
      <w:r w:rsidR="00C26159">
        <w:rPr>
          <w:color w:val="1F497D" w:themeColor="text2"/>
        </w:rPr>
        <w:t>. The INTOSAI regional organisations should be encouraged to also adopt this practice.</w:t>
      </w:r>
    </w:p>
    <w:p w:rsidR="0040511E" w:rsidRDefault="008B4D40" w:rsidP="006F4A6F">
      <w:pPr>
        <w:pStyle w:val="Para4"/>
        <w:spacing w:line="276" w:lineRule="auto"/>
        <w:rPr>
          <w:color w:val="1F497D" w:themeColor="text2"/>
        </w:rPr>
      </w:pPr>
      <w:r>
        <w:rPr>
          <w:color w:val="1F497D" w:themeColor="text2"/>
        </w:rPr>
        <w:t>Where appropriate, t</w:t>
      </w:r>
      <w:r w:rsidR="0040511E">
        <w:rPr>
          <w:color w:val="1F497D" w:themeColor="text2"/>
        </w:rPr>
        <w:t>he quality assurance statement for public goods</w:t>
      </w:r>
      <w:r>
        <w:rPr>
          <w:color w:val="1F497D" w:themeColor="text2"/>
        </w:rPr>
        <w:t xml:space="preserve"> might</w:t>
      </w:r>
      <w:r w:rsidR="0040511E">
        <w:rPr>
          <w:color w:val="1F497D" w:themeColor="text2"/>
        </w:rPr>
        <w:t xml:space="preserve"> include either a revision or </w:t>
      </w:r>
      <w:r w:rsidR="00F34ABF">
        <w:rPr>
          <w:color w:val="1F497D" w:themeColor="text2"/>
        </w:rPr>
        <w:t>expiry</w:t>
      </w:r>
      <w:r w:rsidR="0040511E">
        <w:rPr>
          <w:color w:val="1F497D" w:themeColor="text2"/>
        </w:rPr>
        <w:t xml:space="preserve"> clause, stating clearly the latest date by which the product will be reviewed and updated or the date upon which the guidance in the product will cease to be valid (normally, of course, the product should be removed from public access on or before this date).</w:t>
      </w:r>
    </w:p>
    <w:p w:rsidR="0040511E" w:rsidRPr="00E76948" w:rsidRDefault="00C26159" w:rsidP="00E76948">
      <w:pPr>
        <w:pStyle w:val="Para4"/>
        <w:spacing w:line="276" w:lineRule="auto"/>
        <w:rPr>
          <w:color w:val="1F497D" w:themeColor="text2"/>
        </w:rPr>
      </w:pPr>
      <w:r>
        <w:rPr>
          <w:color w:val="1F497D" w:themeColor="text2"/>
        </w:rPr>
        <w:t>All new public goods published on or after 1</w:t>
      </w:r>
      <w:r w:rsidRPr="00C26159">
        <w:rPr>
          <w:color w:val="1F497D" w:themeColor="text2"/>
          <w:vertAlign w:val="superscript"/>
        </w:rPr>
        <w:t>st</w:t>
      </w:r>
      <w:r>
        <w:rPr>
          <w:color w:val="1F497D" w:themeColor="text2"/>
        </w:rPr>
        <w:t xml:space="preserve"> December 2017 (i.e. about three weeks after the 2017 Governing Board meeting) </w:t>
      </w:r>
      <w:r w:rsidR="0040511E">
        <w:rPr>
          <w:color w:val="1F497D" w:themeColor="text2"/>
        </w:rPr>
        <w:t xml:space="preserve">should conform to the principles in this paper and carry a quality assurance statement and, where appropriate, an explanatory annex. A quality assurance statement </w:t>
      </w:r>
      <w:r w:rsidR="006207C1">
        <w:rPr>
          <w:color w:val="1F497D" w:themeColor="text2"/>
        </w:rPr>
        <w:t>will be added to existing public goods as and when they are revised or updated</w:t>
      </w:r>
      <w:r w:rsidR="0040511E" w:rsidRPr="00E76948">
        <w:rPr>
          <w:color w:val="1F497D" w:themeColor="text2"/>
        </w:rPr>
        <w:t xml:space="preserve">. </w:t>
      </w:r>
    </w:p>
    <w:p w:rsidR="00E76948" w:rsidRPr="00E76948" w:rsidRDefault="0040511E" w:rsidP="00E76948">
      <w:pPr>
        <w:pStyle w:val="Para1"/>
        <w:spacing w:line="276" w:lineRule="auto"/>
        <w:rPr>
          <w:color w:val="1F497D" w:themeColor="text2"/>
        </w:rPr>
      </w:pPr>
      <w:r w:rsidRPr="00E76948">
        <w:rPr>
          <w:color w:val="1F497D" w:themeColor="text2"/>
        </w:rPr>
        <w:t xml:space="preserve">The Goal Chairs and IDI will oversee this process for their own products and those of their subcommittees and working groups. Together, they will </w:t>
      </w:r>
      <w:r w:rsidR="008B4D40">
        <w:rPr>
          <w:color w:val="1F497D" w:themeColor="text2"/>
        </w:rPr>
        <w:t>draw up a</w:t>
      </w:r>
      <w:r w:rsidR="00806C27">
        <w:rPr>
          <w:color w:val="1F497D" w:themeColor="text2"/>
        </w:rPr>
        <w:t xml:space="preserve"> workable</w:t>
      </w:r>
      <w:r w:rsidR="008B4D40">
        <w:rPr>
          <w:color w:val="1F497D" w:themeColor="text2"/>
        </w:rPr>
        <w:t xml:space="preserve"> definition of “INTOSAI public goods”</w:t>
      </w:r>
      <w:r w:rsidR="008B4D40">
        <w:rPr>
          <w:rStyle w:val="FootnoteReference"/>
          <w:color w:val="1F497D" w:themeColor="text2"/>
        </w:rPr>
        <w:footnoteReference w:id="2"/>
      </w:r>
      <w:r w:rsidR="00806C27">
        <w:rPr>
          <w:color w:val="1F497D" w:themeColor="text2"/>
        </w:rPr>
        <w:t xml:space="preserve"> and</w:t>
      </w:r>
      <w:r w:rsidR="008B4D40">
        <w:rPr>
          <w:color w:val="1F497D" w:themeColor="text2"/>
        </w:rPr>
        <w:t xml:space="preserve"> </w:t>
      </w:r>
      <w:r w:rsidRPr="00E76948">
        <w:rPr>
          <w:color w:val="1F497D" w:themeColor="text2"/>
        </w:rPr>
        <w:t xml:space="preserve">develop the procedures and templates necessary. </w:t>
      </w:r>
      <w:r w:rsidR="00F34ABF">
        <w:rPr>
          <w:color w:val="1F497D" w:themeColor="text2"/>
        </w:rPr>
        <w:t>Th</w:t>
      </w:r>
      <w:r w:rsidR="00806C27">
        <w:rPr>
          <w:color w:val="1F497D" w:themeColor="text2"/>
        </w:rPr>
        <w:t>ese procedures</w:t>
      </w:r>
      <w:r w:rsidR="00F34ABF">
        <w:rPr>
          <w:color w:val="1F497D" w:themeColor="text2"/>
        </w:rPr>
        <w:t xml:space="preserve"> may involve the Goal </w:t>
      </w:r>
      <w:r w:rsidR="00F34ABF">
        <w:rPr>
          <w:color w:val="1F497D" w:themeColor="text2"/>
        </w:rPr>
        <w:lastRenderedPageBreak/>
        <w:t>Chairs “signing off” statements of quality assurance for products developed by the subcommittees and working groups under their responsibility.</w:t>
      </w:r>
    </w:p>
    <w:p w:rsidR="00C26159" w:rsidRPr="00E76948" w:rsidRDefault="0040511E" w:rsidP="00E76948">
      <w:pPr>
        <w:pStyle w:val="Para1"/>
        <w:spacing w:line="276" w:lineRule="auto"/>
        <w:rPr>
          <w:color w:val="1F497D" w:themeColor="text2"/>
        </w:rPr>
      </w:pPr>
      <w:r w:rsidRPr="00E76948">
        <w:rPr>
          <w:color w:val="1F497D" w:themeColor="text2"/>
        </w:rPr>
        <w:t>The Governing Board is invited to take note of this paper.</w:t>
      </w:r>
      <w:r w:rsidR="00F34ABF">
        <w:rPr>
          <w:color w:val="1F497D" w:themeColor="text2"/>
        </w:rPr>
        <w:t xml:space="preserve"> It may also wish to consider whether the statement of quality assurance system should apply to goods produced by bodies that report to it other than the goal chairs.</w:t>
      </w:r>
    </w:p>
    <w:sectPr w:rsidR="00C26159" w:rsidRPr="00E76948" w:rsidSect="00C162A8">
      <w:headerReference w:type="default" r:id="rId8"/>
      <w:footerReference w:type="default" r:id="rId9"/>
      <w:headerReference w:type="first" r:id="rId10"/>
      <w:footerReference w:type="first" r:id="rId11"/>
      <w:endnotePr>
        <w:numFmt w:val="decimal"/>
      </w:endnotePr>
      <w:pgSz w:w="11907" w:h="16840" w:code="9"/>
      <w:pgMar w:top="720" w:right="1134" w:bottom="720" w:left="1134" w:header="340"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F76" w:rsidRDefault="00372F76">
      <w:r>
        <w:separator/>
      </w:r>
    </w:p>
  </w:endnote>
  <w:endnote w:type="continuationSeparator" w:id="0">
    <w:p w:rsidR="00372F76" w:rsidRDefault="0037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24591"/>
      <w:docPartObj>
        <w:docPartGallery w:val="Page Numbers (Bottom of Page)"/>
        <w:docPartUnique/>
      </w:docPartObj>
    </w:sdtPr>
    <w:sdtEndPr>
      <w:rPr>
        <w:noProof/>
      </w:rPr>
    </w:sdtEndPr>
    <w:sdtContent>
      <w:p w:rsidR="00CF07F1" w:rsidRDefault="00CF07F1">
        <w:pPr>
          <w:pStyle w:val="Footer"/>
          <w:jc w:val="center"/>
        </w:pPr>
        <w:r>
          <w:fldChar w:fldCharType="begin"/>
        </w:r>
        <w:r>
          <w:instrText xml:space="preserve"> PAGE   \* MERGEFORMAT </w:instrText>
        </w:r>
        <w:r>
          <w:fldChar w:fldCharType="separate"/>
        </w:r>
        <w:r w:rsidR="00FB40A0">
          <w:rPr>
            <w:noProof/>
          </w:rPr>
          <w:t>2</w:t>
        </w:r>
        <w:r>
          <w:rPr>
            <w:noProof/>
          </w:rPr>
          <w:fldChar w:fldCharType="end"/>
        </w:r>
      </w:p>
    </w:sdtContent>
  </w:sdt>
  <w:p w:rsidR="00CF07F1" w:rsidRDefault="00CF0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2A8" w:rsidRDefault="00C162A8" w:rsidP="00C162A8">
    <w:pPr>
      <w:tabs>
        <w:tab w:val="left" w:pos="1418"/>
      </w:tabs>
      <w:rPr>
        <w:color w:val="6D91C8"/>
        <w:sz w:val="16"/>
        <w:szCs w:val="16"/>
      </w:rPr>
    </w:pPr>
    <w:r>
      <w:rPr>
        <w:noProof/>
        <w:color w:val="6D91C8"/>
        <w:sz w:val="16"/>
        <w:szCs w:val="16"/>
        <w:lang w:val="en-US"/>
      </w:rPr>
      <mc:AlternateContent>
        <mc:Choice Requires="wps">
          <w:drawing>
            <wp:anchor distT="0" distB="0" distL="114300" distR="114300" simplePos="0" relativeHeight="251658240" behindDoc="0" locked="0" layoutInCell="1" allowOverlap="1" wp14:anchorId="4BB7958A" wp14:editId="5CF0B196">
              <wp:simplePos x="0" y="0"/>
              <wp:positionH relativeFrom="column">
                <wp:posOffset>-3810</wp:posOffset>
              </wp:positionH>
              <wp:positionV relativeFrom="paragraph">
                <wp:posOffset>84826</wp:posOffset>
              </wp:positionV>
              <wp:extent cx="6211019" cy="0"/>
              <wp:effectExtent l="0" t="0" r="18415" b="19050"/>
              <wp:wrapNone/>
              <wp:docPr id="10" name="Straight Connector 10"/>
              <wp:cNvGraphicFramePr/>
              <a:graphic xmlns:a="http://schemas.openxmlformats.org/drawingml/2006/main">
                <a:graphicData uri="http://schemas.microsoft.com/office/word/2010/wordprocessingShape">
                  <wps:wsp>
                    <wps:cNvCnPr/>
                    <wps:spPr>
                      <a:xfrm>
                        <a:off x="0" y="0"/>
                        <a:ext cx="6211019" cy="0"/>
                      </a:xfrm>
                      <a:prstGeom prst="line">
                        <a:avLst/>
                      </a:prstGeom>
                      <a:ln w="3175">
                        <a:solidFill>
                          <a:srgbClr val="6D91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B2E308" id="Straight Connector 10"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7pt" to="488.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" strokecolor="#6d91c8" strokeweight=".25pt"/>
          </w:pict>
        </mc:Fallback>
      </mc:AlternateContent>
    </w:r>
  </w:p>
  <w:p w:rsidR="00C162A8" w:rsidRDefault="00C162A8" w:rsidP="00C162A8">
    <w:pPr>
      <w:tabs>
        <w:tab w:val="left" w:pos="1418"/>
      </w:tabs>
      <w:rPr>
        <w:color w:val="6D91C8"/>
        <w:sz w:val="16"/>
        <w:szCs w:val="16"/>
      </w:rPr>
    </w:pPr>
  </w:p>
  <w:p w:rsidR="00C162A8" w:rsidRDefault="00C162A8" w:rsidP="00C162A8">
    <w:pPr>
      <w:tabs>
        <w:tab w:val="left" w:pos="1418"/>
      </w:tabs>
      <w:rPr>
        <w:color w:val="6D91C8"/>
        <w:sz w:val="16"/>
        <w:szCs w:val="16"/>
      </w:rPr>
    </w:pPr>
    <w:r w:rsidRPr="007C7FB6">
      <w:rPr>
        <w:color w:val="6D91C8"/>
        <w:sz w:val="16"/>
        <w:szCs w:val="16"/>
      </w:rPr>
      <w:t>Address for reply:</w:t>
    </w:r>
    <w:r w:rsidRPr="007C7FB6">
      <w:rPr>
        <w:color w:val="6D91C8"/>
        <w:sz w:val="16"/>
        <w:szCs w:val="16"/>
      </w:rPr>
      <w:tab/>
      <w:t>AQC-PSC-VC, European Court of Auditors, 12 rue Alcide De Gasperi, L-1615 Luxembourg</w:t>
    </w:r>
  </w:p>
  <w:p w:rsidR="00C162A8" w:rsidRPr="007C7FB6" w:rsidRDefault="00C162A8" w:rsidP="00C162A8">
    <w:pPr>
      <w:tabs>
        <w:tab w:val="left" w:pos="1418"/>
      </w:tabs>
      <w:rPr>
        <w:rStyle w:val="Hyperlink"/>
        <w:color w:val="6D91C8"/>
        <w:sz w:val="16"/>
        <w:szCs w:val="16"/>
        <w:u w:val="none"/>
      </w:rPr>
    </w:pPr>
    <w:r w:rsidRPr="007C7FB6">
      <w:rPr>
        <w:color w:val="6D91C8"/>
        <w:sz w:val="16"/>
        <w:szCs w:val="16"/>
      </w:rPr>
      <w:t>E-mail:</w:t>
    </w:r>
    <w:r w:rsidRPr="007C7FB6">
      <w:rPr>
        <w:color w:val="6D91C8"/>
        <w:sz w:val="16"/>
        <w:szCs w:val="16"/>
      </w:rPr>
      <w:tab/>
    </w:r>
    <w:hyperlink r:id="rId1" w:history="1">
      <w:r w:rsidRPr="007C7FB6">
        <w:rPr>
          <w:rStyle w:val="Hyperlink"/>
          <w:color w:val="6D91C8"/>
          <w:sz w:val="16"/>
          <w:szCs w:val="16"/>
          <w:u w:val="none"/>
        </w:rPr>
        <w:t>ECA-PSC@eca.europa.eu</w:t>
      </w:r>
    </w:hyperlink>
  </w:p>
  <w:p w:rsidR="00C162A8" w:rsidRPr="00C162A8" w:rsidRDefault="00C162A8" w:rsidP="00C162A8">
    <w:pPr>
      <w:tabs>
        <w:tab w:val="left" w:pos="1418"/>
      </w:tabs>
      <w:rPr>
        <w:color w:val="6D91C8"/>
        <w:sz w:val="16"/>
        <w:szCs w:val="16"/>
      </w:rPr>
    </w:pPr>
    <w:r w:rsidRPr="007C7FB6">
      <w:rPr>
        <w:rStyle w:val="Hyperlink"/>
        <w:color w:val="6D91C8"/>
        <w:sz w:val="16"/>
        <w:szCs w:val="16"/>
        <w:u w:val="none"/>
      </w:rPr>
      <w:t>Telephone:</w:t>
    </w:r>
    <w:r w:rsidRPr="007C7FB6">
      <w:rPr>
        <w:rStyle w:val="Hyperlink"/>
        <w:color w:val="6D91C8"/>
        <w:sz w:val="16"/>
        <w:szCs w:val="16"/>
        <w:u w:val="none"/>
      </w:rPr>
      <w:tab/>
    </w:r>
    <w:r w:rsidRPr="007C7FB6">
      <w:rPr>
        <w:color w:val="6D91C8"/>
        <w:sz w:val="16"/>
        <w:szCs w:val="16"/>
      </w:rPr>
      <w:t>+352 4398 45281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F76" w:rsidRDefault="00372F76">
      <w:r>
        <w:separator/>
      </w:r>
    </w:p>
  </w:footnote>
  <w:footnote w:type="continuationSeparator" w:id="0">
    <w:p w:rsidR="00372F76" w:rsidRDefault="00372F76">
      <w:r>
        <w:continuationSeparator/>
      </w:r>
    </w:p>
  </w:footnote>
  <w:footnote w:id="1">
    <w:p w:rsidR="000237DF" w:rsidRPr="00806C27" w:rsidRDefault="000237DF">
      <w:pPr>
        <w:pStyle w:val="FootnoteText"/>
        <w:rPr>
          <w:rFonts w:asciiTheme="minorHAnsi" w:hAnsiTheme="minorHAnsi" w:cstheme="minorHAnsi"/>
          <w:sz w:val="20"/>
        </w:rPr>
      </w:pPr>
      <w:r w:rsidRPr="000237DF">
        <w:rPr>
          <w:rStyle w:val="FootnoteReference"/>
          <w:rFonts w:asciiTheme="minorHAnsi" w:hAnsiTheme="minorHAnsi" w:cstheme="minorHAnsi"/>
          <w:color w:val="1F497D" w:themeColor="text2"/>
          <w:sz w:val="20"/>
        </w:rPr>
        <w:footnoteRef/>
      </w:r>
      <w:r w:rsidRPr="000237DF">
        <w:rPr>
          <w:rFonts w:asciiTheme="minorHAnsi" w:hAnsiTheme="minorHAnsi" w:cstheme="minorHAnsi"/>
          <w:color w:val="1F497D" w:themeColor="text2"/>
          <w:sz w:val="20"/>
        </w:rPr>
        <w:tab/>
        <w:t>In INTOSAI due process, the exposure comment period is normally 90 days</w:t>
      </w:r>
      <w:r>
        <w:rPr>
          <w:rFonts w:asciiTheme="minorHAnsi" w:hAnsiTheme="minorHAnsi" w:cstheme="minorHAnsi"/>
          <w:sz w:val="20"/>
        </w:rPr>
        <w:t>.</w:t>
      </w:r>
    </w:p>
  </w:footnote>
  <w:footnote w:id="2">
    <w:p w:rsidR="008B4D40" w:rsidRPr="00806C27" w:rsidRDefault="008B4D40">
      <w:pPr>
        <w:pStyle w:val="FootnoteText"/>
        <w:rPr>
          <w:rFonts w:asciiTheme="minorHAnsi" w:hAnsiTheme="minorHAnsi" w:cstheme="minorHAnsi"/>
          <w:sz w:val="20"/>
        </w:rPr>
      </w:pPr>
      <w:r w:rsidRPr="008B4D40">
        <w:rPr>
          <w:rStyle w:val="FootnoteReference"/>
          <w:rFonts w:asciiTheme="minorHAnsi" w:hAnsiTheme="minorHAnsi" w:cstheme="minorHAnsi"/>
          <w:color w:val="1F497D" w:themeColor="text2"/>
          <w:sz w:val="20"/>
        </w:rPr>
        <w:footnoteRef/>
      </w:r>
      <w:r w:rsidRPr="008B4D40">
        <w:rPr>
          <w:rFonts w:asciiTheme="minorHAnsi" w:hAnsiTheme="minorHAnsi" w:cstheme="minorHAnsi"/>
          <w:color w:val="1F497D" w:themeColor="text2"/>
          <w:sz w:val="20"/>
        </w:rPr>
        <w:tab/>
      </w:r>
      <w:r w:rsidR="00806C27" w:rsidRPr="008B4D40">
        <w:rPr>
          <w:rFonts w:asciiTheme="minorHAnsi" w:hAnsiTheme="minorHAnsi" w:cstheme="minorHAnsi"/>
          <w:color w:val="1F497D" w:themeColor="text2"/>
          <w:sz w:val="20"/>
        </w:rPr>
        <w:t>IDI’s</w:t>
      </w:r>
      <w:r w:rsidR="00806C27" w:rsidRPr="008B4D40">
        <w:rPr>
          <w:rFonts w:asciiTheme="minorHAnsi" w:hAnsiTheme="minorHAnsi" w:cstheme="minorHAnsi"/>
          <w:color w:val="1F497D" w:themeColor="text2"/>
          <w:szCs w:val="22"/>
        </w:rPr>
        <w:t xml:space="preserve"> strategic plan</w:t>
      </w:r>
      <w:r w:rsidR="00806C27" w:rsidRPr="008B4D40">
        <w:rPr>
          <w:color w:val="1F497D" w:themeColor="text2"/>
          <w:szCs w:val="22"/>
          <w:lang w:val="en-US" w:eastAsia="en-US"/>
        </w:rPr>
        <w:t xml:space="preserve"> 2014-2018 defines </w:t>
      </w:r>
      <w:r w:rsidR="00806C27">
        <w:rPr>
          <w:color w:val="1F497D" w:themeColor="text2"/>
          <w:szCs w:val="22"/>
          <w:lang w:val="en-US" w:eastAsia="en-US"/>
        </w:rPr>
        <w:t>global public good</w:t>
      </w:r>
      <w:r w:rsidR="00806C27" w:rsidRPr="008B4D40">
        <w:rPr>
          <w:color w:val="1F497D" w:themeColor="text2"/>
          <w:szCs w:val="22"/>
          <w:lang w:val="en-US" w:eastAsia="en-US"/>
        </w:rPr>
        <w:t>s: “as products and tools that help in global knowledge creation for capacity development of the SAIs. These products and tools are freely available to the SAIs and all other stakeholders involved in SAI capacity development and members of public at large, such that the use by one party does not preclude use by another”. The term does not cover the IDI training material, courseware, tests</w:t>
      </w:r>
      <w:r w:rsidR="00CF07F1">
        <w:rPr>
          <w:color w:val="1F497D" w:themeColor="text2"/>
          <w:szCs w:val="22"/>
          <w:lang w:val="en-US" w:eastAsia="en-US"/>
        </w:rPr>
        <w:t>,</w:t>
      </w:r>
      <w:r w:rsidR="00806C27" w:rsidRPr="008B4D40">
        <w:rPr>
          <w:color w:val="1F497D" w:themeColor="text2"/>
          <w:szCs w:val="22"/>
          <w:lang w:val="en-US" w:eastAsia="en-US"/>
        </w:rPr>
        <w:t xml:space="preserve"> etc developed.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A5" w:rsidRPr="00FB4AA2" w:rsidRDefault="007B6AA5" w:rsidP="008775E0">
    <w:pPr>
      <w:tabs>
        <w:tab w:val="center" w:pos="4395"/>
        <w:tab w:val="right" w:pos="8789"/>
      </w:tabs>
      <w:jc w:val="center"/>
      <w:rPr>
        <w:lang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2A8" w:rsidRDefault="00C162A8">
    <w:pPr>
      <w:pStyle w:val="Header"/>
    </w:pPr>
    <w:r w:rsidRPr="00C162A8">
      <w:rPr>
        <w:noProof/>
        <w:lang w:val="en-US" w:eastAsia="en-US"/>
      </w:rPr>
      <w:drawing>
        <wp:anchor distT="0" distB="396240" distL="114300" distR="114300" simplePos="0" relativeHeight="251656192" behindDoc="1" locked="0" layoutInCell="1" allowOverlap="1" wp14:anchorId="4AC07135" wp14:editId="53C3E6C7">
          <wp:simplePos x="0" y="0"/>
          <wp:positionH relativeFrom="column">
            <wp:posOffset>13335</wp:posOffset>
          </wp:positionH>
          <wp:positionV relativeFrom="paragraph">
            <wp:posOffset>155575</wp:posOffset>
          </wp:positionV>
          <wp:extent cx="3305175" cy="526415"/>
          <wp:effectExtent l="0" t="0" r="952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SC Secretari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5175" cy="526415"/>
                  </a:xfrm>
                  <a:prstGeom prst="rect">
                    <a:avLst/>
                  </a:prstGeom>
                </pic:spPr>
              </pic:pic>
            </a:graphicData>
          </a:graphic>
          <wp14:sizeRelH relativeFrom="page">
            <wp14:pctWidth>0</wp14:pctWidth>
          </wp14:sizeRelH>
          <wp14:sizeRelV relativeFrom="page">
            <wp14:pctHeight>0</wp14:pctHeight>
          </wp14:sizeRelV>
        </wp:anchor>
      </w:drawing>
    </w:r>
    <w:r w:rsidRPr="00C162A8">
      <w:rPr>
        <w:noProof/>
        <w:lang w:val="en-US" w:eastAsia="en-US"/>
      </w:rPr>
      <mc:AlternateContent>
        <mc:Choice Requires="wps">
          <w:drawing>
            <wp:anchor distT="0" distB="0" distL="114300" distR="114300" simplePos="0" relativeHeight="251657216" behindDoc="0" locked="0" layoutInCell="1" allowOverlap="1" wp14:anchorId="55BAAFD3" wp14:editId="75F81EBF">
              <wp:simplePos x="0" y="0"/>
              <wp:positionH relativeFrom="column">
                <wp:posOffset>3693160</wp:posOffset>
              </wp:positionH>
              <wp:positionV relativeFrom="paragraph">
                <wp:posOffset>251460</wp:posOffset>
              </wp:positionV>
              <wp:extent cx="2374265" cy="1403985"/>
              <wp:effectExtent l="0" t="0" r="889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162A8" w:rsidRPr="00C6673F" w:rsidRDefault="00C162A8" w:rsidP="00C162A8">
                          <w:pPr>
                            <w:jc w:val="right"/>
                            <w:rPr>
                              <w:sz w:val="20"/>
                            </w:rPr>
                          </w:pPr>
                          <w:r w:rsidRPr="00766C01">
                            <w:rPr>
                              <w:sz w:val="20"/>
                            </w:rPr>
                            <w:t>2017/L00</w:t>
                          </w:r>
                          <w:r w:rsidR="00AD128D">
                            <w:rPr>
                              <w:sz w:val="20"/>
                            </w:rPr>
                            <w:t>2</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BAAFD3" id="_x0000_t202" coordsize="21600,21600" o:spt="202" path="m,l,21600r21600,l21600,xe">
              <v:stroke joinstyle="miter"/>
              <v:path gradientshapeok="t" o:connecttype="rect"/>
            </v:shapetype>
            <v:shape id="Text Box 2" o:spid="_x0000_s1026" type="#_x0000_t202" style="position:absolute;margin-left:290.8pt;margin-top:19.8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" stroked="f">
              <v:textbox style="mso-fit-shape-to-text:t" inset="0,0,0,0">
                <w:txbxContent>
                  <w:p w:rsidR="00C162A8" w:rsidRPr="00C6673F" w:rsidRDefault="00C162A8" w:rsidP="00C162A8">
                    <w:pPr>
                      <w:jc w:val="right"/>
                      <w:rPr>
                        <w:sz w:val="20"/>
                      </w:rPr>
                    </w:pPr>
                    <w:r w:rsidRPr="00766C01">
                      <w:rPr>
                        <w:sz w:val="20"/>
                      </w:rPr>
                      <w:t>2017/L00</w:t>
                    </w:r>
                    <w:r w:rsidR="00AD128D">
                      <w:rPr>
                        <w:sz w:val="20"/>
                      </w:rPr>
                      <w:t>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599D"/>
    <w:multiLevelType w:val="multilevel"/>
    <w:tmpl w:val="8912F6BA"/>
    <w:lvl w:ilvl="0">
      <w:start w:val="1"/>
      <w:numFmt w:val="upperRoman"/>
      <w:pStyle w:val="Partie"/>
      <w:lvlText w:val="%1."/>
      <w:lvlJc w:val="left"/>
      <w:pPr>
        <w:tabs>
          <w:tab w:val="num" w:pos="567"/>
        </w:tabs>
        <w:ind w:left="567" w:hanging="567"/>
      </w:pPr>
    </w:lvl>
    <w:lvl w:ilvl="1">
      <w:start w:val="7"/>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1">
    <w:nsid w:val="19503FDD"/>
    <w:multiLevelType w:val="singleLevel"/>
    <w:tmpl w:val="24123A70"/>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2">
    <w:nsid w:val="1CE93E9E"/>
    <w:multiLevelType w:val="multilevel"/>
    <w:tmpl w:val="FCC6C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FA0406F"/>
    <w:multiLevelType w:val="multilevel"/>
    <w:tmpl w:val="5144FC7A"/>
    <w:lvl w:ilvl="0">
      <w:start w:val="1"/>
      <w:numFmt w:val="decimal"/>
      <w:pStyle w:val="Para1"/>
      <w:lvlText w:val="%1."/>
      <w:lvlJc w:val="left"/>
      <w:pPr>
        <w:tabs>
          <w:tab w:val="num" w:pos="360"/>
        </w:tabs>
        <w:ind w:left="0" w:firstLine="0"/>
      </w:pPr>
    </w:lvl>
    <w:lvl w:ilvl="1">
      <w:start w:val="1"/>
      <w:numFmt w:val="decimal"/>
      <w:pStyle w:val="Para2"/>
      <w:lvlText w:val="%1.%2."/>
      <w:lvlJc w:val="left"/>
      <w:pPr>
        <w:tabs>
          <w:tab w:val="num" w:pos="720"/>
        </w:tabs>
        <w:ind w:left="0" w:firstLine="0"/>
      </w:pPr>
    </w:lvl>
    <w:lvl w:ilvl="2">
      <w:start w:val="1"/>
      <w:numFmt w:val="decimal"/>
      <w:pStyle w:val="Para3"/>
      <w:lvlText w:val="%1.%2.%3."/>
      <w:lvlJc w:val="left"/>
      <w:pPr>
        <w:tabs>
          <w:tab w:val="num" w:pos="720"/>
        </w:tabs>
        <w:ind w:left="0" w:firstLine="0"/>
      </w:pPr>
    </w:lvl>
    <w:lvl w:ilvl="3">
      <w:start w:val="1"/>
      <w:numFmt w:val="lowerLetter"/>
      <w:pStyle w:val="Para4"/>
      <w:lvlText w:val="%4)"/>
      <w:lvlJc w:val="left"/>
      <w:pPr>
        <w:tabs>
          <w:tab w:val="num" w:pos="454"/>
        </w:tabs>
        <w:ind w:left="454" w:hanging="454"/>
      </w:pPr>
    </w:lvl>
    <w:lvl w:ilvl="4">
      <w:start w:val="1"/>
      <w:numFmt w:val="lowerRoman"/>
      <w:pStyle w:val="Para5"/>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4">
    <w:nsid w:val="30001B62"/>
    <w:multiLevelType w:val="hybridMultilevel"/>
    <w:tmpl w:val="7026D0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99293D"/>
    <w:multiLevelType w:val="multilevel"/>
    <w:tmpl w:val="2E107CAA"/>
    <w:lvl w:ilvl="0">
      <w:start w:val="1"/>
      <w:numFmt w:val="upperRoman"/>
      <w:lvlText w:val="Partie %1. "/>
      <w:lvlJc w:val="left"/>
      <w:pPr>
        <w:tabs>
          <w:tab w:val="num" w:pos="1800"/>
        </w:tabs>
        <w:ind w:left="0" w:firstLine="0"/>
      </w:pPr>
      <w:rPr>
        <w:rFonts w:ascii="Times New Roman" w:hAnsi="Times New Roman" w:hint="default"/>
        <w:b/>
        <w:i w:val="0"/>
        <w:caps/>
        <w:sz w:val="24"/>
      </w:rPr>
    </w:lvl>
    <w:lvl w:ilvl="1">
      <w:start w:val="1"/>
      <w:numFmt w:val="decimalZero"/>
      <w:isLgl/>
      <w:lvlText w:val="Section %1.%2:"/>
      <w:lvlJc w:val="left"/>
      <w:pPr>
        <w:tabs>
          <w:tab w:val="num" w:pos="1800"/>
        </w:tabs>
        <w:ind w:left="0" w:firstLine="0"/>
      </w:pPr>
      <w:rPr>
        <w:rFonts w:ascii="Times New Roman" w:hAnsi="Times New Roman" w:hint="default"/>
        <w:b/>
        <w:i w:val="0"/>
        <w:caps/>
        <w:sz w:val="24"/>
      </w:rPr>
    </w:lvl>
    <w:lvl w:ilvl="2">
      <w:start w:val="1"/>
      <w:numFmt w:val="upperLetter"/>
      <w:lvlText w:val="%3."/>
      <w:lvlJc w:val="left"/>
      <w:pPr>
        <w:tabs>
          <w:tab w:val="num" w:pos="567"/>
        </w:tabs>
        <w:ind w:left="567" w:hanging="567"/>
      </w:pPr>
    </w:lvl>
    <w:lvl w:ilvl="3">
      <w:start w:val="1"/>
      <w:numFmt w:val="decimal"/>
      <w:lvlText w:val="%4."/>
      <w:lvlJc w:val="right"/>
      <w:pPr>
        <w:tabs>
          <w:tab w:val="num" w:pos="567"/>
        </w:tabs>
        <w:ind w:left="567" w:hanging="567"/>
      </w:pPr>
    </w:lvl>
    <w:lvl w:ilvl="4">
      <w:start w:val="1"/>
      <w:numFmt w:val="lowerLetter"/>
      <w:lvlText w:val="%5)"/>
      <w:lvlJc w:val="left"/>
      <w:pPr>
        <w:tabs>
          <w:tab w:val="num" w:pos="927"/>
        </w:tabs>
        <w:ind w:left="851" w:hanging="284"/>
      </w:pPr>
    </w:lvl>
    <w:lvl w:ilvl="5">
      <w:start w:val="1"/>
      <w:numFmt w:val="lowerRoman"/>
      <w:pStyle w:val="Heading6"/>
      <w:lvlText w:val="%6)"/>
      <w:lvlJc w:val="left"/>
      <w:pPr>
        <w:tabs>
          <w:tab w:val="num" w:pos="1571"/>
        </w:tabs>
        <w:ind w:left="1134" w:hanging="283"/>
      </w:pPr>
      <w:rPr>
        <w:rFonts w:ascii="Times New Roman" w:hAnsi="Times New Roman" w:hint="default"/>
        <w:sz w:val="22"/>
      </w:r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6DD01C97"/>
    <w:multiLevelType w:val="singleLevel"/>
    <w:tmpl w:val="AC582320"/>
    <w:lvl w:ilvl="0">
      <w:start w:val="1"/>
      <w:numFmt w:val="bullet"/>
      <w:pStyle w:val="Dash1"/>
      <w:lvlText w:val="-"/>
      <w:lvlJc w:val="left"/>
      <w:pPr>
        <w:tabs>
          <w:tab w:val="num" w:pos="644"/>
        </w:tabs>
        <w:ind w:left="567" w:hanging="283"/>
      </w:pPr>
      <w:rPr>
        <w:rFonts w:ascii="Times New Roman" w:hAnsi="Times New Roman" w:hint="default"/>
      </w:rPr>
    </w:lvl>
  </w:abstractNum>
  <w:num w:numId="1">
    <w:abstractNumId w:val="1"/>
  </w:num>
  <w:num w:numId="2">
    <w:abstractNumId w:val="6"/>
  </w:num>
  <w:num w:numId="3">
    <w:abstractNumId w:val="0"/>
  </w:num>
  <w:num w:numId="4">
    <w:abstractNumId w:val="5"/>
  </w:num>
  <w:num w:numId="5">
    <w:abstractNumId w:val="3"/>
  </w:num>
  <w:num w:numId="6">
    <w:abstractNumId w:val="3"/>
  </w:num>
  <w:num w:numId="7">
    <w:abstractNumId w:val="6"/>
  </w:num>
  <w:num w:numId="8">
    <w:abstractNumId w:val="1"/>
  </w:num>
  <w:num w:numId="9">
    <w:abstractNumId w:val="5"/>
  </w:num>
  <w:num w:numId="10">
    <w:abstractNumId w:val="5"/>
  </w:num>
  <w:num w:numId="11">
    <w:abstractNumId w:val="3"/>
  </w:num>
  <w:num w:numId="12">
    <w:abstractNumId w:val="3"/>
  </w:num>
  <w:num w:numId="13">
    <w:abstractNumId w:val="3"/>
  </w:num>
  <w:num w:numId="14">
    <w:abstractNumId w:val="3"/>
  </w:num>
  <w:num w:numId="15">
    <w:abstractNumId w:val="3"/>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E0"/>
    <w:rsid w:val="00001E0E"/>
    <w:rsid w:val="00017499"/>
    <w:rsid w:val="000237DF"/>
    <w:rsid w:val="0002782F"/>
    <w:rsid w:val="00033158"/>
    <w:rsid w:val="00066644"/>
    <w:rsid w:val="00066961"/>
    <w:rsid w:val="000701C2"/>
    <w:rsid w:val="0007070B"/>
    <w:rsid w:val="00075EF4"/>
    <w:rsid w:val="00076AD6"/>
    <w:rsid w:val="00082C1D"/>
    <w:rsid w:val="00096BB0"/>
    <w:rsid w:val="000A0C60"/>
    <w:rsid w:val="000A162C"/>
    <w:rsid w:val="000B47B1"/>
    <w:rsid w:val="000C2A0F"/>
    <w:rsid w:val="000E5215"/>
    <w:rsid w:val="000E71D4"/>
    <w:rsid w:val="000F3FF2"/>
    <w:rsid w:val="000F7744"/>
    <w:rsid w:val="001043BE"/>
    <w:rsid w:val="00126AF1"/>
    <w:rsid w:val="001311EC"/>
    <w:rsid w:val="00144DED"/>
    <w:rsid w:val="00155764"/>
    <w:rsid w:val="00157947"/>
    <w:rsid w:val="0016350D"/>
    <w:rsid w:val="00163A61"/>
    <w:rsid w:val="00166B26"/>
    <w:rsid w:val="00180C75"/>
    <w:rsid w:val="00191440"/>
    <w:rsid w:val="00195607"/>
    <w:rsid w:val="00197108"/>
    <w:rsid w:val="00197A0F"/>
    <w:rsid w:val="001A1AE0"/>
    <w:rsid w:val="001C0C0D"/>
    <w:rsid w:val="001C43A6"/>
    <w:rsid w:val="001C7BBD"/>
    <w:rsid w:val="001D3A2F"/>
    <w:rsid w:val="001E5A5E"/>
    <w:rsid w:val="001F0F2A"/>
    <w:rsid w:val="001F24D3"/>
    <w:rsid w:val="001F3A1C"/>
    <w:rsid w:val="00201AC2"/>
    <w:rsid w:val="0020233A"/>
    <w:rsid w:val="0021469F"/>
    <w:rsid w:val="00236787"/>
    <w:rsid w:val="002368EC"/>
    <w:rsid w:val="002745E0"/>
    <w:rsid w:val="00284473"/>
    <w:rsid w:val="002B5CBB"/>
    <w:rsid w:val="002C249D"/>
    <w:rsid w:val="002D1765"/>
    <w:rsid w:val="002F4969"/>
    <w:rsid w:val="00310056"/>
    <w:rsid w:val="00314A66"/>
    <w:rsid w:val="00320DEF"/>
    <w:rsid w:val="00321D5F"/>
    <w:rsid w:val="00334600"/>
    <w:rsid w:val="00335FCF"/>
    <w:rsid w:val="00337F91"/>
    <w:rsid w:val="003512F2"/>
    <w:rsid w:val="0035613B"/>
    <w:rsid w:val="00357574"/>
    <w:rsid w:val="00361E51"/>
    <w:rsid w:val="00371E27"/>
    <w:rsid w:val="0037229D"/>
    <w:rsid w:val="00372F76"/>
    <w:rsid w:val="0037723B"/>
    <w:rsid w:val="00380867"/>
    <w:rsid w:val="00382CBE"/>
    <w:rsid w:val="00383F14"/>
    <w:rsid w:val="00384BF1"/>
    <w:rsid w:val="00387148"/>
    <w:rsid w:val="00396225"/>
    <w:rsid w:val="003D1051"/>
    <w:rsid w:val="003D7FD3"/>
    <w:rsid w:val="003E4296"/>
    <w:rsid w:val="003F2DC4"/>
    <w:rsid w:val="0040092E"/>
    <w:rsid w:val="0040511E"/>
    <w:rsid w:val="00414289"/>
    <w:rsid w:val="0041580F"/>
    <w:rsid w:val="00431480"/>
    <w:rsid w:val="00431E1E"/>
    <w:rsid w:val="00441D69"/>
    <w:rsid w:val="00443908"/>
    <w:rsid w:val="00466B33"/>
    <w:rsid w:val="00467092"/>
    <w:rsid w:val="00467897"/>
    <w:rsid w:val="00471928"/>
    <w:rsid w:val="004744FE"/>
    <w:rsid w:val="00474B90"/>
    <w:rsid w:val="00484432"/>
    <w:rsid w:val="004A179E"/>
    <w:rsid w:val="004A78D3"/>
    <w:rsid w:val="004C685B"/>
    <w:rsid w:val="004D1BD2"/>
    <w:rsid w:val="004D5D60"/>
    <w:rsid w:val="004E213D"/>
    <w:rsid w:val="004F4356"/>
    <w:rsid w:val="00510CD4"/>
    <w:rsid w:val="00512F86"/>
    <w:rsid w:val="00522C19"/>
    <w:rsid w:val="0052749A"/>
    <w:rsid w:val="0057383A"/>
    <w:rsid w:val="005761C3"/>
    <w:rsid w:val="00577361"/>
    <w:rsid w:val="0057770D"/>
    <w:rsid w:val="00581787"/>
    <w:rsid w:val="00583CB7"/>
    <w:rsid w:val="00585E19"/>
    <w:rsid w:val="00591212"/>
    <w:rsid w:val="005A2375"/>
    <w:rsid w:val="005B0339"/>
    <w:rsid w:val="005B64B1"/>
    <w:rsid w:val="005B74D6"/>
    <w:rsid w:val="005B7FE9"/>
    <w:rsid w:val="005C162C"/>
    <w:rsid w:val="005D2BB4"/>
    <w:rsid w:val="005E6BD1"/>
    <w:rsid w:val="005F7041"/>
    <w:rsid w:val="005F73A4"/>
    <w:rsid w:val="006025B4"/>
    <w:rsid w:val="00612B8B"/>
    <w:rsid w:val="006207C1"/>
    <w:rsid w:val="006576B1"/>
    <w:rsid w:val="0066365E"/>
    <w:rsid w:val="00664AC5"/>
    <w:rsid w:val="006728AB"/>
    <w:rsid w:val="0068004E"/>
    <w:rsid w:val="00692FAB"/>
    <w:rsid w:val="006A38F3"/>
    <w:rsid w:val="006A749D"/>
    <w:rsid w:val="006A7E19"/>
    <w:rsid w:val="006B06E0"/>
    <w:rsid w:val="006B39C3"/>
    <w:rsid w:val="006B762C"/>
    <w:rsid w:val="006F4A6F"/>
    <w:rsid w:val="006F7B9F"/>
    <w:rsid w:val="007025B3"/>
    <w:rsid w:val="007067B1"/>
    <w:rsid w:val="007149FF"/>
    <w:rsid w:val="00715D85"/>
    <w:rsid w:val="007500FF"/>
    <w:rsid w:val="00752A1D"/>
    <w:rsid w:val="007619B7"/>
    <w:rsid w:val="00763F6C"/>
    <w:rsid w:val="00766C01"/>
    <w:rsid w:val="00766F1D"/>
    <w:rsid w:val="007809E5"/>
    <w:rsid w:val="00786C04"/>
    <w:rsid w:val="00792202"/>
    <w:rsid w:val="007A7D9C"/>
    <w:rsid w:val="007B46AD"/>
    <w:rsid w:val="007B69B2"/>
    <w:rsid w:val="007B6AA5"/>
    <w:rsid w:val="007C0C24"/>
    <w:rsid w:val="007C3DC6"/>
    <w:rsid w:val="007C486D"/>
    <w:rsid w:val="007C753F"/>
    <w:rsid w:val="007C7587"/>
    <w:rsid w:val="007C7FB6"/>
    <w:rsid w:val="007D1D86"/>
    <w:rsid w:val="007D3E3A"/>
    <w:rsid w:val="007F2775"/>
    <w:rsid w:val="007F6E22"/>
    <w:rsid w:val="00802645"/>
    <w:rsid w:val="00806C27"/>
    <w:rsid w:val="00815FB5"/>
    <w:rsid w:val="0082185F"/>
    <w:rsid w:val="008245FA"/>
    <w:rsid w:val="0082750A"/>
    <w:rsid w:val="00834560"/>
    <w:rsid w:val="00846C5F"/>
    <w:rsid w:val="008476F3"/>
    <w:rsid w:val="00862C7A"/>
    <w:rsid w:val="00864FEE"/>
    <w:rsid w:val="00874873"/>
    <w:rsid w:val="008775E0"/>
    <w:rsid w:val="008826C9"/>
    <w:rsid w:val="00882B14"/>
    <w:rsid w:val="00886C8F"/>
    <w:rsid w:val="00892D53"/>
    <w:rsid w:val="008A743A"/>
    <w:rsid w:val="008B3A1D"/>
    <w:rsid w:val="008B4D40"/>
    <w:rsid w:val="008B5248"/>
    <w:rsid w:val="008C3152"/>
    <w:rsid w:val="008C650D"/>
    <w:rsid w:val="008D524E"/>
    <w:rsid w:val="008D69E2"/>
    <w:rsid w:val="008D7EAF"/>
    <w:rsid w:val="008E589D"/>
    <w:rsid w:val="008F3DA2"/>
    <w:rsid w:val="008F6CBE"/>
    <w:rsid w:val="00905CBB"/>
    <w:rsid w:val="00916F36"/>
    <w:rsid w:val="009322DD"/>
    <w:rsid w:val="009350FF"/>
    <w:rsid w:val="009434ED"/>
    <w:rsid w:val="00952F70"/>
    <w:rsid w:val="00953F9D"/>
    <w:rsid w:val="00957F65"/>
    <w:rsid w:val="009668E2"/>
    <w:rsid w:val="009701A3"/>
    <w:rsid w:val="009712D4"/>
    <w:rsid w:val="009809F7"/>
    <w:rsid w:val="00983F21"/>
    <w:rsid w:val="00987C94"/>
    <w:rsid w:val="00994576"/>
    <w:rsid w:val="009A5FE0"/>
    <w:rsid w:val="009B54B3"/>
    <w:rsid w:val="009C0B70"/>
    <w:rsid w:val="009C7952"/>
    <w:rsid w:val="009D0858"/>
    <w:rsid w:val="009D13E7"/>
    <w:rsid w:val="009D3D40"/>
    <w:rsid w:val="009E16A1"/>
    <w:rsid w:val="009E2178"/>
    <w:rsid w:val="009F4E46"/>
    <w:rsid w:val="009F605C"/>
    <w:rsid w:val="00A0313B"/>
    <w:rsid w:val="00A060D0"/>
    <w:rsid w:val="00A12EBB"/>
    <w:rsid w:val="00A14070"/>
    <w:rsid w:val="00A20091"/>
    <w:rsid w:val="00A27DA0"/>
    <w:rsid w:val="00A55185"/>
    <w:rsid w:val="00A56A8A"/>
    <w:rsid w:val="00A7026C"/>
    <w:rsid w:val="00A718DC"/>
    <w:rsid w:val="00A74AD4"/>
    <w:rsid w:val="00A837C7"/>
    <w:rsid w:val="00A86F77"/>
    <w:rsid w:val="00A93A3C"/>
    <w:rsid w:val="00A970AF"/>
    <w:rsid w:val="00AC0B63"/>
    <w:rsid w:val="00AD128D"/>
    <w:rsid w:val="00AD7EEE"/>
    <w:rsid w:val="00AE0487"/>
    <w:rsid w:val="00AE4C1F"/>
    <w:rsid w:val="00AF5E96"/>
    <w:rsid w:val="00B05653"/>
    <w:rsid w:val="00B12E78"/>
    <w:rsid w:val="00B16F64"/>
    <w:rsid w:val="00B202A2"/>
    <w:rsid w:val="00B33797"/>
    <w:rsid w:val="00B42A7C"/>
    <w:rsid w:val="00B46280"/>
    <w:rsid w:val="00B46E7C"/>
    <w:rsid w:val="00B578C7"/>
    <w:rsid w:val="00B60BBA"/>
    <w:rsid w:val="00B6407C"/>
    <w:rsid w:val="00B643E6"/>
    <w:rsid w:val="00B73216"/>
    <w:rsid w:val="00B77ECB"/>
    <w:rsid w:val="00B832CD"/>
    <w:rsid w:val="00B9643C"/>
    <w:rsid w:val="00BA0002"/>
    <w:rsid w:val="00BA19A7"/>
    <w:rsid w:val="00BB64D2"/>
    <w:rsid w:val="00BE4D42"/>
    <w:rsid w:val="00C07F0A"/>
    <w:rsid w:val="00C1013A"/>
    <w:rsid w:val="00C13FF8"/>
    <w:rsid w:val="00C162A8"/>
    <w:rsid w:val="00C26159"/>
    <w:rsid w:val="00C30EBC"/>
    <w:rsid w:val="00C31106"/>
    <w:rsid w:val="00C3400E"/>
    <w:rsid w:val="00C3492B"/>
    <w:rsid w:val="00C37980"/>
    <w:rsid w:val="00C41664"/>
    <w:rsid w:val="00C502A8"/>
    <w:rsid w:val="00C6183A"/>
    <w:rsid w:val="00C6673F"/>
    <w:rsid w:val="00C66B2D"/>
    <w:rsid w:val="00C90A84"/>
    <w:rsid w:val="00CB037E"/>
    <w:rsid w:val="00CB2631"/>
    <w:rsid w:val="00CB3A7F"/>
    <w:rsid w:val="00CC0892"/>
    <w:rsid w:val="00CD0458"/>
    <w:rsid w:val="00CD2128"/>
    <w:rsid w:val="00CD2D97"/>
    <w:rsid w:val="00CE13C8"/>
    <w:rsid w:val="00CF07F1"/>
    <w:rsid w:val="00CF15E5"/>
    <w:rsid w:val="00CF3A7F"/>
    <w:rsid w:val="00CF7968"/>
    <w:rsid w:val="00D127D4"/>
    <w:rsid w:val="00D13AC2"/>
    <w:rsid w:val="00D13F50"/>
    <w:rsid w:val="00D22D2E"/>
    <w:rsid w:val="00D25BB2"/>
    <w:rsid w:val="00D32204"/>
    <w:rsid w:val="00D40CF5"/>
    <w:rsid w:val="00D40DF4"/>
    <w:rsid w:val="00D4539A"/>
    <w:rsid w:val="00D47223"/>
    <w:rsid w:val="00D54BA4"/>
    <w:rsid w:val="00D57575"/>
    <w:rsid w:val="00D57D2F"/>
    <w:rsid w:val="00D6095C"/>
    <w:rsid w:val="00D90521"/>
    <w:rsid w:val="00DA33E1"/>
    <w:rsid w:val="00DC1F3A"/>
    <w:rsid w:val="00DC6B95"/>
    <w:rsid w:val="00E06D0C"/>
    <w:rsid w:val="00E10A86"/>
    <w:rsid w:val="00E11CD2"/>
    <w:rsid w:val="00E123BA"/>
    <w:rsid w:val="00E22E89"/>
    <w:rsid w:val="00E2526B"/>
    <w:rsid w:val="00E252C1"/>
    <w:rsid w:val="00E25F3D"/>
    <w:rsid w:val="00E31BCD"/>
    <w:rsid w:val="00E4023F"/>
    <w:rsid w:val="00E428B1"/>
    <w:rsid w:val="00E5491C"/>
    <w:rsid w:val="00E62D8B"/>
    <w:rsid w:val="00E67FFC"/>
    <w:rsid w:val="00E75449"/>
    <w:rsid w:val="00E75FC9"/>
    <w:rsid w:val="00E76948"/>
    <w:rsid w:val="00E80123"/>
    <w:rsid w:val="00E84A80"/>
    <w:rsid w:val="00E86DBD"/>
    <w:rsid w:val="00E916E1"/>
    <w:rsid w:val="00E91CBD"/>
    <w:rsid w:val="00EA341B"/>
    <w:rsid w:val="00EB25A8"/>
    <w:rsid w:val="00EC69B8"/>
    <w:rsid w:val="00ED4D79"/>
    <w:rsid w:val="00ED72D3"/>
    <w:rsid w:val="00EE1377"/>
    <w:rsid w:val="00EE198B"/>
    <w:rsid w:val="00F24BD6"/>
    <w:rsid w:val="00F264AA"/>
    <w:rsid w:val="00F34300"/>
    <w:rsid w:val="00F34ABF"/>
    <w:rsid w:val="00F35A14"/>
    <w:rsid w:val="00F36692"/>
    <w:rsid w:val="00F36B24"/>
    <w:rsid w:val="00F37E1A"/>
    <w:rsid w:val="00F47945"/>
    <w:rsid w:val="00F57EDF"/>
    <w:rsid w:val="00F6018A"/>
    <w:rsid w:val="00F6428E"/>
    <w:rsid w:val="00F66959"/>
    <w:rsid w:val="00F672B7"/>
    <w:rsid w:val="00F676B1"/>
    <w:rsid w:val="00F719E1"/>
    <w:rsid w:val="00F71E57"/>
    <w:rsid w:val="00F77C91"/>
    <w:rsid w:val="00F81CEC"/>
    <w:rsid w:val="00F85EB8"/>
    <w:rsid w:val="00FA2F6A"/>
    <w:rsid w:val="00FB40A0"/>
    <w:rsid w:val="00FB4AA2"/>
    <w:rsid w:val="00FB6771"/>
    <w:rsid w:val="00FC0165"/>
    <w:rsid w:val="00FC53CA"/>
    <w:rsid w:val="00FD2EFF"/>
    <w:rsid w:val="00FD62C1"/>
    <w:rsid w:val="00FD7CCA"/>
    <w:rsid w:val="00FF3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5D5AC6-45AF-4DB8-BE54-747E9B05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ECB"/>
    <w:rPr>
      <w:rFonts w:asciiTheme="minorHAnsi" w:eastAsiaTheme="minorHAnsi" w:hAnsiTheme="minorHAnsi" w:cstheme="minorBidi"/>
      <w:color w:val="1F497D" w:themeColor="text2"/>
      <w:sz w:val="18"/>
      <w:szCs w:val="22"/>
      <w:lang w:eastAsia="en-US"/>
    </w:rPr>
  </w:style>
  <w:style w:type="paragraph" w:styleId="Heading1">
    <w:name w:val="heading 1"/>
    <w:basedOn w:val="HeadingBase"/>
    <w:next w:val="Normal"/>
    <w:qFormat/>
    <w:rsid w:val="008B3A1D"/>
    <w:pPr>
      <w:outlineLvl w:val="0"/>
    </w:pPr>
    <w:rPr>
      <w:b/>
      <w:caps/>
      <w:kern w:val="24"/>
      <w:u w:val="single"/>
    </w:rPr>
  </w:style>
  <w:style w:type="paragraph" w:styleId="Heading2">
    <w:name w:val="heading 2"/>
    <w:basedOn w:val="HeadingBase"/>
    <w:next w:val="Normal"/>
    <w:qFormat/>
    <w:rsid w:val="008B3A1D"/>
    <w:pPr>
      <w:outlineLvl w:val="1"/>
    </w:pPr>
    <w:rPr>
      <w:b/>
      <w:i/>
    </w:rPr>
  </w:style>
  <w:style w:type="paragraph" w:styleId="Heading3">
    <w:name w:val="heading 3"/>
    <w:basedOn w:val="HeadingBase"/>
    <w:next w:val="Normal"/>
    <w:qFormat/>
    <w:rsid w:val="008B3A1D"/>
    <w:pPr>
      <w:outlineLvl w:val="2"/>
    </w:pPr>
    <w:rPr>
      <w:b/>
    </w:rPr>
  </w:style>
  <w:style w:type="paragraph" w:styleId="Heading4">
    <w:name w:val="heading 4"/>
    <w:basedOn w:val="HeadingBase"/>
    <w:next w:val="Normal"/>
    <w:qFormat/>
    <w:rsid w:val="008B3A1D"/>
    <w:pPr>
      <w:outlineLvl w:val="3"/>
    </w:pPr>
    <w:rPr>
      <w:u w:val="single"/>
    </w:rPr>
  </w:style>
  <w:style w:type="paragraph" w:styleId="Heading5">
    <w:name w:val="heading 5"/>
    <w:basedOn w:val="HeadingBase"/>
    <w:next w:val="Normal"/>
    <w:qFormat/>
    <w:rsid w:val="008B3A1D"/>
    <w:pPr>
      <w:outlineLvl w:val="4"/>
    </w:pPr>
    <w:rPr>
      <w:i/>
    </w:rPr>
  </w:style>
  <w:style w:type="paragraph" w:styleId="Heading6">
    <w:name w:val="heading 6"/>
    <w:basedOn w:val="Normal"/>
    <w:next w:val="Normal"/>
    <w:qFormat/>
    <w:rsid w:val="002C249D"/>
    <w:pPr>
      <w:numPr>
        <w:ilvl w:val="5"/>
        <w:numId w:val="10"/>
      </w:numPr>
      <w:spacing w:before="240" w:after="60" w:line="360" w:lineRule="auto"/>
      <w:outlineLvl w:val="5"/>
    </w:pPr>
    <w:rPr>
      <w:rFonts w:ascii="Times New Roman" w:eastAsia="Times New Roman" w:hAnsi="Times New Roman" w:cs="Times New Roman"/>
      <w:i/>
      <w:color w:val="auto"/>
      <w:sz w:val="22"/>
      <w:szCs w:val="20"/>
      <w:lang w:eastAsia="en-GB"/>
    </w:rPr>
  </w:style>
  <w:style w:type="paragraph" w:styleId="Heading7">
    <w:name w:val="heading 7"/>
    <w:basedOn w:val="Normal"/>
    <w:next w:val="Normal"/>
    <w:qFormat/>
    <w:rsid w:val="008B3A1D"/>
    <w:pPr>
      <w:keepNext/>
      <w:numPr>
        <w:ilvl w:val="6"/>
        <w:numId w:val="10"/>
      </w:numPr>
      <w:tabs>
        <w:tab w:val="right" w:pos="8789"/>
      </w:tabs>
      <w:suppressAutoHyphens/>
      <w:spacing w:after="240" w:line="360" w:lineRule="auto"/>
      <w:outlineLvl w:val="6"/>
    </w:pPr>
    <w:rPr>
      <w:rFonts w:ascii="Times New Roman" w:eastAsia="Times New Roman" w:hAnsi="Times New Roman" w:cs="Times New Roman"/>
      <w:i/>
      <w:color w:val="auto"/>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Base">
    <w:name w:val="(Template_Base)"/>
    <w:rsid w:val="002C249D"/>
    <w:pPr>
      <w:spacing w:after="240" w:line="360" w:lineRule="auto"/>
    </w:pPr>
    <w:rPr>
      <w:rFonts w:ascii="Calibri" w:hAnsi="Calibri"/>
      <w:sz w:val="22"/>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EndnoteReference">
    <w:name w:val="endnote reference"/>
    <w:semiHidden/>
    <w:rsid w:val="008B3A1D"/>
    <w:rPr>
      <w:rFonts w:ascii="Arial" w:hAnsi="Arial"/>
      <w:b/>
      <w:vertAlign w:val="superscript"/>
    </w:rPr>
  </w:style>
  <w:style w:type="paragraph" w:styleId="EndnoteText">
    <w:name w:val="endnote text"/>
    <w:basedOn w:val="TemplateBase"/>
    <w:link w:val="EndnoteTextChar"/>
    <w:semiHidden/>
    <w:rsid w:val="008B3A1D"/>
    <w:pPr>
      <w:keepLines/>
      <w:spacing w:line="240" w:lineRule="auto"/>
      <w:ind w:left="454" w:hanging="454"/>
    </w:pPr>
  </w:style>
  <w:style w:type="character" w:customStyle="1" w:styleId="EndnoteTextChar">
    <w:name w:val="Endnote Text Char"/>
    <w:basedOn w:val="DefaultParagraphFont"/>
    <w:link w:val="EndnoteText"/>
    <w:semiHidden/>
    <w:rsid w:val="008B3A1D"/>
    <w:rPr>
      <w:rFonts w:ascii="Arial" w:hAnsi="Arial"/>
      <w:sz w:val="22"/>
    </w:rPr>
  </w:style>
  <w:style w:type="paragraph" w:styleId="Footer">
    <w:name w:val="footer"/>
    <w:basedOn w:val="TemplateBase"/>
    <w:link w:val="FooterChar"/>
    <w:uiPriority w:val="99"/>
    <w:rsid w:val="008B3A1D"/>
    <w:pPr>
      <w:tabs>
        <w:tab w:val="center" w:pos="4153"/>
        <w:tab w:val="right" w:pos="8306"/>
      </w:tabs>
    </w:pPr>
    <w:rPr>
      <w:sz w:val="20"/>
    </w:rPr>
  </w:style>
  <w:style w:type="character" w:customStyle="1" w:styleId="FooterChar">
    <w:name w:val="Footer Char"/>
    <w:basedOn w:val="DefaultParagraphFont"/>
    <w:link w:val="Footer"/>
    <w:uiPriority w:val="99"/>
    <w:rsid w:val="008B3A1D"/>
    <w:rPr>
      <w:rFonts w:ascii="Arial" w:hAnsi="Arial"/>
    </w:rPr>
  </w:style>
  <w:style w:type="character" w:styleId="FootnoteReference">
    <w:name w:val="footnote reference"/>
    <w:semiHidden/>
    <w:rsid w:val="008B3A1D"/>
    <w:rPr>
      <w:rFonts w:ascii="Arial" w:hAnsi="Arial"/>
      <w:b/>
      <w:vertAlign w:val="superscript"/>
    </w:rPr>
  </w:style>
  <w:style w:type="paragraph" w:styleId="FootnoteText">
    <w:name w:val="footnote text"/>
    <w:basedOn w:val="TemplateBase"/>
    <w:link w:val="FootnoteTextChar"/>
    <w:semiHidden/>
    <w:rsid w:val="008B3A1D"/>
    <w:pPr>
      <w:spacing w:line="240" w:lineRule="auto"/>
      <w:ind w:left="454" w:hanging="454"/>
    </w:pPr>
  </w:style>
  <w:style w:type="character" w:customStyle="1" w:styleId="FootnoteTextChar">
    <w:name w:val="Footnote Text Char"/>
    <w:basedOn w:val="DefaultParagraphFont"/>
    <w:link w:val="FootnoteText"/>
    <w:semiHidden/>
    <w:rsid w:val="008B3A1D"/>
    <w:rPr>
      <w:rFonts w:ascii="Arial" w:hAnsi="Arial"/>
      <w:sz w:val="22"/>
    </w:rPr>
  </w:style>
  <w:style w:type="paragraph" w:styleId="Header">
    <w:name w:val="header"/>
    <w:basedOn w:val="TemplateBase"/>
    <w:link w:val="HeaderChar"/>
    <w:rsid w:val="008B3A1D"/>
    <w:pPr>
      <w:tabs>
        <w:tab w:val="center" w:pos="4320"/>
        <w:tab w:val="right" w:pos="8640"/>
      </w:tabs>
    </w:pPr>
  </w:style>
  <w:style w:type="character" w:customStyle="1" w:styleId="HeaderChar">
    <w:name w:val="Header Char"/>
    <w:basedOn w:val="DefaultParagraphFont"/>
    <w:link w:val="Header"/>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PageNumber">
    <w:name w:val="page number"/>
    <w:basedOn w:val="DefaultParagraphFont"/>
    <w:rsid w:val="008B3A1D"/>
  </w:style>
  <w:style w:type="paragraph" w:customStyle="1" w:styleId="Para1">
    <w:name w:val="Para_1"/>
    <w:basedOn w:val="TemplateBase"/>
    <w:rsid w:val="008B3A1D"/>
    <w:pPr>
      <w:numPr>
        <w:numId w:val="15"/>
      </w:numPr>
      <w:tabs>
        <w:tab w:val="left" w:pos="454"/>
        <w:tab w:val="left" w:pos="567"/>
      </w:tabs>
    </w:pPr>
  </w:style>
  <w:style w:type="paragraph" w:customStyle="1" w:styleId="Para2">
    <w:name w:val="Para_2"/>
    <w:basedOn w:val="TemplateBase"/>
    <w:rsid w:val="008B3A1D"/>
    <w:pPr>
      <w:numPr>
        <w:ilvl w:val="1"/>
        <w:numId w:val="15"/>
      </w:numPr>
    </w:pPr>
  </w:style>
  <w:style w:type="paragraph" w:customStyle="1" w:styleId="Para3">
    <w:name w:val="Para_3"/>
    <w:basedOn w:val="TemplateBase"/>
    <w:rsid w:val="008B3A1D"/>
    <w:pPr>
      <w:numPr>
        <w:ilvl w:val="2"/>
        <w:numId w:val="15"/>
      </w:numPr>
      <w:tabs>
        <w:tab w:val="left" w:pos="992"/>
      </w:tabs>
    </w:pPr>
  </w:style>
  <w:style w:type="paragraph" w:customStyle="1" w:styleId="Para4">
    <w:name w:val="Para_4"/>
    <w:basedOn w:val="TemplateBase"/>
    <w:rsid w:val="008B3A1D"/>
    <w:pPr>
      <w:numPr>
        <w:ilvl w:val="3"/>
        <w:numId w:val="15"/>
      </w:numPr>
      <w:spacing w:after="360"/>
    </w:pPr>
  </w:style>
  <w:style w:type="paragraph" w:customStyle="1" w:styleId="Para5">
    <w:name w:val="Para_5"/>
    <w:basedOn w:val="TemplateBase"/>
    <w:rsid w:val="008B3A1D"/>
    <w:pPr>
      <w:numPr>
        <w:ilvl w:val="4"/>
        <w:numId w:val="15"/>
      </w:numPr>
      <w:tabs>
        <w:tab w:val="left" w:pos="1021"/>
      </w:tabs>
      <w:spacing w:after="360"/>
    </w:pPr>
  </w:style>
  <w:style w:type="paragraph" w:customStyle="1" w:styleId="Partie">
    <w:name w:val="Partie"/>
    <w:basedOn w:val="Heading1"/>
    <w:rsid w:val="008B3A1D"/>
    <w:pPr>
      <w:numPr>
        <w:numId w:val="16"/>
      </w:numPr>
    </w:pPr>
    <w:rPr>
      <w:u w:val="none"/>
    </w:rPr>
  </w:style>
  <w:style w:type="paragraph" w:styleId="Signature">
    <w:name w:val="Signature"/>
    <w:basedOn w:val="TemplateBase"/>
    <w:link w:val="SignatureChar"/>
    <w:rsid w:val="008B3A1D"/>
    <w:pPr>
      <w:keepNext/>
      <w:spacing w:before="360" w:after="360" w:line="240" w:lineRule="auto"/>
      <w:ind w:left="5103"/>
      <w:jc w:val="center"/>
    </w:pPr>
  </w:style>
  <w:style w:type="character" w:customStyle="1" w:styleId="SignatureChar">
    <w:name w:val="Signature Char"/>
    <w:basedOn w:val="DefaultParagraphFont"/>
    <w:link w:val="Signature"/>
    <w:rsid w:val="008B3A1D"/>
    <w:rPr>
      <w:rFonts w:ascii="Arial" w:hAnsi="Arial"/>
      <w:sz w:val="24"/>
    </w:rPr>
  </w:style>
  <w:style w:type="paragraph" w:customStyle="1" w:styleId="SignaturePrsident">
    <w:name w:val="Signature Président"/>
    <w:basedOn w:val="Normal"/>
    <w:next w:val="Normal"/>
    <w:rsid w:val="008B3A1D"/>
    <w:pPr>
      <w:tabs>
        <w:tab w:val="left" w:pos="5528"/>
        <w:tab w:val="left" w:pos="5812"/>
        <w:tab w:val="left" w:pos="6379"/>
      </w:tabs>
      <w:spacing w:after="240"/>
    </w:pPr>
    <w:rPr>
      <w:rFonts w:ascii="Calibri" w:eastAsia="Times New Roman" w:hAnsi="Calibri" w:cs="Times New Roman"/>
      <w:color w:val="auto"/>
      <w:sz w:val="22"/>
      <w:szCs w:val="20"/>
      <w:lang w:eastAsia="en-GB"/>
    </w:r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TOC1">
    <w:name w:val="toc 1"/>
    <w:basedOn w:val="TOCBase"/>
    <w:autoRedefine/>
    <w:semiHidden/>
    <w:rsid w:val="008B3A1D"/>
    <w:pPr>
      <w:tabs>
        <w:tab w:val="left" w:pos="7655"/>
      </w:tabs>
    </w:pPr>
  </w:style>
  <w:style w:type="paragraph" w:styleId="TOC2">
    <w:name w:val="toc 2"/>
    <w:basedOn w:val="TOCBase"/>
    <w:autoRedefine/>
    <w:semiHidden/>
    <w:rsid w:val="008B3A1D"/>
    <w:pPr>
      <w:tabs>
        <w:tab w:val="left" w:pos="7655"/>
      </w:tabs>
      <w:ind w:left="454"/>
    </w:pPr>
  </w:style>
  <w:style w:type="paragraph" w:styleId="TOC3">
    <w:name w:val="toc 3"/>
    <w:basedOn w:val="TOCBase"/>
    <w:autoRedefine/>
    <w:semiHidden/>
    <w:rsid w:val="008B3A1D"/>
    <w:pPr>
      <w:tabs>
        <w:tab w:val="left" w:pos="7655"/>
      </w:tabs>
      <w:ind w:left="851"/>
    </w:pPr>
  </w:style>
  <w:style w:type="paragraph" w:styleId="TOC4">
    <w:name w:val="toc 4"/>
    <w:basedOn w:val="TOCBase"/>
    <w:next w:val="Normal"/>
    <w:autoRedefine/>
    <w:semiHidden/>
    <w:rsid w:val="008B3A1D"/>
    <w:pPr>
      <w:ind w:left="720"/>
    </w:pPr>
  </w:style>
  <w:style w:type="paragraph" w:styleId="TOC5">
    <w:name w:val="toc 5"/>
    <w:basedOn w:val="TOCBase"/>
    <w:next w:val="Normal"/>
    <w:autoRedefine/>
    <w:semiHidden/>
    <w:rsid w:val="008B3A1D"/>
    <w:pPr>
      <w:ind w:left="960"/>
    </w:pPr>
  </w:style>
  <w:style w:type="paragraph" w:styleId="BalloonText">
    <w:name w:val="Balloon Text"/>
    <w:basedOn w:val="Normal"/>
    <w:link w:val="BalloonTextChar"/>
    <w:uiPriority w:val="99"/>
    <w:semiHidden/>
    <w:unhideWhenUsed/>
    <w:rsid w:val="008775E0"/>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8775E0"/>
    <w:rPr>
      <w:rFonts w:ascii="Tahoma" w:hAnsi="Tahoma" w:cs="Tahoma"/>
      <w:sz w:val="16"/>
      <w:szCs w:val="16"/>
    </w:rPr>
  </w:style>
  <w:style w:type="character" w:styleId="Hyperlink">
    <w:name w:val="Hyperlink"/>
    <w:basedOn w:val="DefaultParagraphFont"/>
    <w:uiPriority w:val="99"/>
    <w:unhideWhenUsed/>
    <w:rsid w:val="008775E0"/>
    <w:rPr>
      <w:color w:val="0000FF" w:themeColor="hyperlink"/>
      <w:u w:val="single"/>
    </w:rPr>
  </w:style>
  <w:style w:type="table" w:styleId="TableGrid">
    <w:name w:val="Table Grid"/>
    <w:basedOn w:val="TableNormal"/>
    <w:uiPriority w:val="59"/>
    <w:rsid w:val="00E42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1E57"/>
    <w:pPr>
      <w:ind w:left="720"/>
      <w:contextualSpacing/>
    </w:pPr>
  </w:style>
  <w:style w:type="paragraph" w:styleId="Revision">
    <w:name w:val="Revision"/>
    <w:hidden/>
    <w:uiPriority w:val="99"/>
    <w:semiHidden/>
    <w:rsid w:val="00CF07F1"/>
    <w:rPr>
      <w:rFonts w:asciiTheme="minorHAnsi" w:eastAsiaTheme="minorHAnsi" w:hAnsiTheme="minorHAnsi" w:cstheme="minorBidi"/>
      <w:color w:val="1F497D" w:themeColor="text2"/>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CA-PSC@ec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A4FCCD-8368-4EDE-BC5A-FFB92CA3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Court of Auditors</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USHER</dc:creator>
  <cp:lastModifiedBy>Dell</cp:lastModifiedBy>
  <cp:revision>4</cp:revision>
  <cp:lastPrinted>2017-06-23T05:37:00Z</cp:lastPrinted>
  <dcterms:created xsi:type="dcterms:W3CDTF">2017-05-17T05:30:00Z</dcterms:created>
  <dcterms:modified xsi:type="dcterms:W3CDTF">2017-06-23T11:58:00Z</dcterms:modified>
</cp:coreProperties>
</file>